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8FB08">
      <w:pPr>
        <w:pStyle w:val="30"/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Министерство здравоохранения Республики Беларусь</w:t>
      </w:r>
    </w:p>
    <w:p w14:paraId="393342CA">
      <w:pPr>
        <w:pStyle w:val="30"/>
        <w:shd w:val="clear" w:color="auto" w:fill="FFFFFF"/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учреждение «Сенненский районный центр гигиены и эпидемиологии»</w:t>
      </w:r>
    </w:p>
    <w:p w14:paraId="7E9613E6">
      <w:pPr>
        <w:pStyle w:val="3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E865A8F">
      <w:pPr>
        <w:pStyle w:val="30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ЗДОРОВЬЕ НАСЕЛЕНИЯ И ОКРУЖАЮЩАЯ СРЕДА</w:t>
      </w:r>
    </w:p>
    <w:p w14:paraId="634D1177">
      <w:pPr>
        <w:pStyle w:val="30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48"/>
          <w:szCs w:val="48"/>
        </w:rPr>
      </w:pPr>
      <w:r>
        <w:rPr>
          <w:b/>
          <w:sz w:val="48"/>
          <w:szCs w:val="48"/>
        </w:rPr>
        <w:t>СЕННЕНСКОГО РАЙОНА</w:t>
      </w:r>
    </w:p>
    <w:p w14:paraId="1EA3E331">
      <w:pPr>
        <w:pStyle w:val="30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</w:p>
    <w:p w14:paraId="104F83EE">
      <w:pPr>
        <w:pStyle w:val="30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Достижение Целей устойчивого развития</w:t>
      </w:r>
    </w:p>
    <w:p w14:paraId="5584EC9E">
      <w:pPr>
        <w:pStyle w:val="3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168910</wp:posOffset>
            </wp:positionV>
            <wp:extent cx="8758555" cy="2860040"/>
            <wp:effectExtent l="0" t="0" r="4445" b="0"/>
            <wp:wrapTight wrapText="bothSides">
              <wp:wrapPolygon>
                <wp:start x="0" y="0"/>
                <wp:lineTo x="0" y="21437"/>
                <wp:lineTo x="21564" y="21437"/>
                <wp:lineTo x="21564" y="0"/>
                <wp:lineTo x="0" y="0"/>
              </wp:wrapPolygon>
            </wp:wrapTight>
            <wp:docPr id="59" name="Рисунок 59" descr="C:\Documents and Settings\1\Рабочий стол\5c62fc654d8847d91607aa80e7cfe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 descr="C:\Documents and Settings\1\Рабочий стол\5c62fc654d8847d91607aa80e7cfe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855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г. Сенно 2025 год</w:t>
      </w:r>
    </w:p>
    <w:p w14:paraId="67765B36">
      <w:pPr>
        <w:pStyle w:val="30"/>
        <w:shd w:val="clear" w:color="auto" w:fill="FFFFFF"/>
        <w:ind w:firstLine="708"/>
        <w:jc w:val="center"/>
        <w:rPr>
          <w:b/>
          <w:sz w:val="28"/>
          <w:szCs w:val="28"/>
        </w:rPr>
      </w:pPr>
    </w:p>
    <w:p w14:paraId="42962373">
      <w:pPr>
        <w:pStyle w:val="30"/>
        <w:shd w:val="clear" w:color="auto" w:fill="FFFFFF"/>
        <w:ind w:firstLine="708"/>
        <w:jc w:val="center"/>
        <w:rPr>
          <w:b/>
          <w:sz w:val="28"/>
          <w:szCs w:val="28"/>
        </w:rPr>
      </w:pPr>
    </w:p>
    <w:p w14:paraId="14DABDC9">
      <w:pPr>
        <w:pStyle w:val="30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30"/>
          <w:szCs w:val="30"/>
        </w:rPr>
        <w:t>СОДЕРЖАНИЕ</w:t>
      </w:r>
    </w:p>
    <w:tbl>
      <w:tblPr>
        <w:tblStyle w:val="11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907"/>
        <w:gridCol w:w="567"/>
      </w:tblGrid>
      <w:tr w14:paraId="41A2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26AF74AE">
            <w:pPr>
              <w:tabs>
                <w:tab w:val="left" w:pos="929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I.</w:t>
            </w:r>
          </w:p>
        </w:tc>
        <w:tc>
          <w:tcPr>
            <w:tcW w:w="12907" w:type="dxa"/>
          </w:tcPr>
          <w:p w14:paraId="341BF494">
            <w:pPr>
              <w:tabs>
                <w:tab w:val="left" w:pos="9290"/>
              </w:tabs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567" w:type="dxa"/>
          </w:tcPr>
          <w:p w14:paraId="2F82A28A">
            <w:pPr>
              <w:tabs>
                <w:tab w:val="left" w:pos="9290"/>
              </w:tabs>
              <w:ind w:left="-507" w:firstLine="507"/>
              <w:jc w:val="center"/>
            </w:pPr>
            <w:r>
              <w:t>6</w:t>
            </w:r>
          </w:p>
        </w:tc>
      </w:tr>
      <w:tr w14:paraId="155F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0C7BABCE">
            <w:pPr>
              <w:tabs>
                <w:tab w:val="left" w:pos="929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II.</w:t>
            </w:r>
          </w:p>
        </w:tc>
        <w:tc>
          <w:tcPr>
            <w:tcW w:w="12907" w:type="dxa"/>
          </w:tcPr>
          <w:p w14:paraId="7F7AC517">
            <w:pPr>
              <w:jc w:val="both"/>
              <w:rPr>
                <w:b/>
              </w:rPr>
            </w:pPr>
            <w:r>
              <w:rPr>
                <w:b/>
              </w:rPr>
              <w:t xml:space="preserve">СОСТОЯНИЕ ЗДОРОВЬЯ НАСЕЛЕНИЯ И РИСКИ </w:t>
            </w:r>
          </w:p>
        </w:tc>
        <w:tc>
          <w:tcPr>
            <w:tcW w:w="567" w:type="dxa"/>
          </w:tcPr>
          <w:p w14:paraId="23E7F998">
            <w:pPr>
              <w:tabs>
                <w:tab w:val="left" w:pos="9290"/>
              </w:tabs>
              <w:jc w:val="center"/>
            </w:pPr>
            <w:r>
              <w:t>12</w:t>
            </w:r>
          </w:p>
        </w:tc>
      </w:tr>
      <w:tr w14:paraId="281A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79C1A76E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2.1</w:t>
            </w:r>
          </w:p>
        </w:tc>
        <w:tc>
          <w:tcPr>
            <w:tcW w:w="12907" w:type="dxa"/>
          </w:tcPr>
          <w:p w14:paraId="15412E36">
            <w:pPr>
              <w:tabs>
                <w:tab w:val="left" w:pos="9290"/>
              </w:tabs>
            </w:pPr>
            <w:r>
              <w:t>Состояние популяционного здоровья</w:t>
            </w:r>
          </w:p>
        </w:tc>
        <w:tc>
          <w:tcPr>
            <w:tcW w:w="567" w:type="dxa"/>
          </w:tcPr>
          <w:p w14:paraId="00967BDA">
            <w:pPr>
              <w:tabs>
                <w:tab w:val="left" w:pos="9290"/>
              </w:tabs>
              <w:jc w:val="center"/>
            </w:pPr>
            <w:r>
              <w:t>12</w:t>
            </w:r>
          </w:p>
        </w:tc>
      </w:tr>
      <w:tr w14:paraId="1911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0AF5AC60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2.1.1</w:t>
            </w:r>
          </w:p>
        </w:tc>
        <w:tc>
          <w:tcPr>
            <w:tcW w:w="12907" w:type="dxa"/>
          </w:tcPr>
          <w:p w14:paraId="0DE29E61">
            <w:pPr>
              <w:tabs>
                <w:tab w:val="left" w:pos="9290"/>
              </w:tabs>
            </w:pPr>
            <w:r>
              <w:rPr>
                <w:i/>
              </w:rPr>
              <w:t>Медико-демографический статус</w:t>
            </w:r>
          </w:p>
        </w:tc>
        <w:tc>
          <w:tcPr>
            <w:tcW w:w="567" w:type="dxa"/>
          </w:tcPr>
          <w:p w14:paraId="49E2B39C">
            <w:pPr>
              <w:tabs>
                <w:tab w:val="left" w:pos="9290"/>
              </w:tabs>
              <w:jc w:val="center"/>
            </w:pPr>
            <w:r>
              <w:t>12</w:t>
            </w:r>
          </w:p>
        </w:tc>
      </w:tr>
      <w:tr w14:paraId="477A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4776AFDD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2.1.2</w:t>
            </w:r>
          </w:p>
        </w:tc>
        <w:tc>
          <w:tcPr>
            <w:tcW w:w="12907" w:type="dxa"/>
          </w:tcPr>
          <w:p w14:paraId="2F4596F7">
            <w:pPr>
              <w:tabs>
                <w:tab w:val="left" w:pos="9290"/>
              </w:tabs>
            </w:pPr>
            <w:r>
              <w:rPr>
                <w:i/>
              </w:rPr>
              <w:t>Заболеваемость населения, обусловленная социально-гигиеническими факторами среды жизнедеятельности</w:t>
            </w:r>
          </w:p>
        </w:tc>
        <w:tc>
          <w:tcPr>
            <w:tcW w:w="567" w:type="dxa"/>
          </w:tcPr>
          <w:p w14:paraId="1BBD47DE">
            <w:pPr>
              <w:tabs>
                <w:tab w:val="left" w:pos="9290"/>
              </w:tabs>
              <w:jc w:val="center"/>
            </w:pPr>
            <w:r>
              <w:t>13</w:t>
            </w:r>
          </w:p>
        </w:tc>
      </w:tr>
      <w:tr w14:paraId="0916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4BB37343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2.1.3</w:t>
            </w:r>
          </w:p>
        </w:tc>
        <w:tc>
          <w:tcPr>
            <w:tcW w:w="12907" w:type="dxa"/>
          </w:tcPr>
          <w:p w14:paraId="3E59B020">
            <w:pPr>
              <w:tabs>
                <w:tab w:val="left" w:pos="9290"/>
              </w:tabs>
            </w:pPr>
            <w:r>
              <w:rPr>
                <w:i/>
              </w:rPr>
              <w:t>Сравнительный территориальный эпидемиологический анализ неинфекционной заболеваемости населения</w:t>
            </w:r>
          </w:p>
        </w:tc>
        <w:tc>
          <w:tcPr>
            <w:tcW w:w="567" w:type="dxa"/>
          </w:tcPr>
          <w:p w14:paraId="11C68CDA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32</w:t>
            </w:r>
          </w:p>
        </w:tc>
      </w:tr>
      <w:tr w14:paraId="6FE9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344030E2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12907" w:type="dxa"/>
          </w:tcPr>
          <w:p w14:paraId="1DA0179C">
            <w:pPr>
              <w:tabs>
                <w:tab w:val="left" w:pos="9290"/>
              </w:tabs>
            </w:pPr>
            <w:r>
              <w:t xml:space="preserve">Качество среды обитания по гигиеническим параметрам безопасности для здоровья населения  </w:t>
            </w:r>
          </w:p>
        </w:tc>
        <w:tc>
          <w:tcPr>
            <w:tcW w:w="567" w:type="dxa"/>
          </w:tcPr>
          <w:p w14:paraId="21B6766B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33</w:t>
            </w:r>
          </w:p>
        </w:tc>
      </w:tr>
      <w:tr w14:paraId="0A03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7228FF1A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12907" w:type="dxa"/>
          </w:tcPr>
          <w:p w14:paraId="29CF7B2A">
            <w:pPr>
              <w:tabs>
                <w:tab w:val="left" w:pos="9290"/>
              </w:tabs>
            </w:pPr>
            <w:r>
              <w:t xml:space="preserve">Социально-экономическая индикация качества среды жизнедеятельности </w:t>
            </w:r>
          </w:p>
        </w:tc>
        <w:tc>
          <w:tcPr>
            <w:tcW w:w="567" w:type="dxa"/>
          </w:tcPr>
          <w:p w14:paraId="17B4B155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3</w:t>
            </w:r>
            <w:r>
              <w:rPr>
                <w:rFonts w:hint="default"/>
                <w:lang w:val="ru-RU"/>
              </w:rPr>
              <w:t>7</w:t>
            </w:r>
          </w:p>
        </w:tc>
      </w:tr>
      <w:tr w14:paraId="642B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4F6C9C3C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12907" w:type="dxa"/>
          </w:tcPr>
          <w:p w14:paraId="14B28A02">
            <w:pPr>
              <w:tabs>
                <w:tab w:val="left" w:pos="9290"/>
              </w:tabs>
            </w:pPr>
            <w:r>
              <w:t>Анализ рисков здоровью</w:t>
            </w:r>
          </w:p>
        </w:tc>
        <w:tc>
          <w:tcPr>
            <w:tcW w:w="567" w:type="dxa"/>
          </w:tcPr>
          <w:p w14:paraId="20652AE5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40</w:t>
            </w:r>
          </w:p>
        </w:tc>
      </w:tr>
      <w:tr w14:paraId="61C9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7030C704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</w:t>
            </w:r>
          </w:p>
        </w:tc>
        <w:tc>
          <w:tcPr>
            <w:tcW w:w="12907" w:type="dxa"/>
          </w:tcPr>
          <w:p w14:paraId="1A4FDE24">
            <w:pPr>
              <w:tabs>
                <w:tab w:val="left" w:pos="9290"/>
              </w:tabs>
              <w:rPr>
                <w:b/>
              </w:rPr>
            </w:pPr>
            <w:r>
              <w:rPr>
                <w:b/>
                <w:bCs/>
              </w:rPr>
              <w:t xml:space="preserve">ГИГИЕНИЧЕСКИЕ АСПЕКТЫ ОБЕСПЕЧЕНИЯ УСТОЙЧИВОГО РАЗВИТИЯ ТЕРРИТОРИИ </w:t>
            </w:r>
          </w:p>
        </w:tc>
        <w:tc>
          <w:tcPr>
            <w:tcW w:w="567" w:type="dxa"/>
          </w:tcPr>
          <w:p w14:paraId="0509BDF5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40</w:t>
            </w:r>
          </w:p>
        </w:tc>
      </w:tr>
      <w:tr w14:paraId="7EA3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7BE8B13D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12907" w:type="dxa"/>
          </w:tcPr>
          <w:p w14:paraId="28E462C1">
            <w:pPr>
              <w:tabs>
                <w:tab w:val="left" w:pos="9290"/>
              </w:tabs>
            </w:pPr>
            <w:r>
              <w:rPr>
                <w:bCs/>
              </w:rPr>
              <w:t>Гигиена воспитания и обучения детей и подростков</w:t>
            </w:r>
          </w:p>
        </w:tc>
        <w:tc>
          <w:tcPr>
            <w:tcW w:w="567" w:type="dxa"/>
          </w:tcPr>
          <w:p w14:paraId="5CAD47AD">
            <w:pPr>
              <w:tabs>
                <w:tab w:val="left" w:pos="9290"/>
              </w:tabs>
              <w:jc w:val="center"/>
            </w:pPr>
            <w:r>
              <w:t>39</w:t>
            </w:r>
          </w:p>
        </w:tc>
      </w:tr>
      <w:tr w14:paraId="7506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63BA02E0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12907" w:type="dxa"/>
          </w:tcPr>
          <w:p w14:paraId="720D39BE">
            <w:pPr>
              <w:tabs>
                <w:tab w:val="left" w:pos="9290"/>
              </w:tabs>
            </w:pPr>
            <w:r>
              <w:rPr>
                <w:bCs/>
              </w:rPr>
              <w:t>Гигиена производственной среды</w:t>
            </w:r>
          </w:p>
        </w:tc>
        <w:tc>
          <w:tcPr>
            <w:tcW w:w="567" w:type="dxa"/>
          </w:tcPr>
          <w:p w14:paraId="006D1D39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4</w:t>
            </w:r>
            <w:r>
              <w:rPr>
                <w:rFonts w:hint="default"/>
                <w:lang w:val="ru-RU"/>
              </w:rPr>
              <w:t>2</w:t>
            </w:r>
          </w:p>
        </w:tc>
      </w:tr>
      <w:tr w14:paraId="397C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1D84C53C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12907" w:type="dxa"/>
          </w:tcPr>
          <w:p w14:paraId="098F603F">
            <w:pPr>
              <w:tabs>
                <w:tab w:val="left" w:pos="9290"/>
              </w:tabs>
            </w:pPr>
            <w:r>
              <w:rPr>
                <w:bCs/>
              </w:rPr>
              <w:t>Гигиена питания и потребления населения</w:t>
            </w:r>
          </w:p>
        </w:tc>
        <w:tc>
          <w:tcPr>
            <w:tcW w:w="567" w:type="dxa"/>
          </w:tcPr>
          <w:p w14:paraId="5C6C155F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4</w:t>
            </w:r>
            <w:r>
              <w:rPr>
                <w:rFonts w:hint="default"/>
                <w:lang w:val="ru-RU"/>
              </w:rPr>
              <w:t>4</w:t>
            </w:r>
          </w:p>
        </w:tc>
      </w:tr>
      <w:tr w14:paraId="0773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00AF8814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12907" w:type="dxa"/>
          </w:tcPr>
          <w:p w14:paraId="69041771">
            <w:pPr>
              <w:tabs>
                <w:tab w:val="left" w:pos="9290"/>
              </w:tabs>
            </w:pPr>
            <w:r>
              <w:t>Гигиена коммунально-бытового обеспечения населения</w:t>
            </w:r>
          </w:p>
        </w:tc>
        <w:tc>
          <w:tcPr>
            <w:tcW w:w="567" w:type="dxa"/>
          </w:tcPr>
          <w:p w14:paraId="5D044263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4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5E39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7B5A3499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12907" w:type="dxa"/>
          </w:tcPr>
          <w:p w14:paraId="4EA0DADA">
            <w:pPr>
              <w:tabs>
                <w:tab w:val="left" w:pos="9290"/>
              </w:tabs>
            </w:pPr>
            <w:r>
              <w:rPr>
                <w:bCs/>
              </w:rPr>
              <w:t>Гигиена радиационной защиты населения</w:t>
            </w:r>
          </w:p>
        </w:tc>
        <w:tc>
          <w:tcPr>
            <w:tcW w:w="567" w:type="dxa"/>
          </w:tcPr>
          <w:p w14:paraId="0BF8AE0C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4</w:t>
            </w:r>
            <w:r>
              <w:rPr>
                <w:rFonts w:hint="default"/>
                <w:lang w:val="ru-RU"/>
              </w:rPr>
              <w:t>8</w:t>
            </w:r>
          </w:p>
        </w:tc>
      </w:tr>
      <w:tr w14:paraId="5A36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66F3450F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3.6.</w:t>
            </w:r>
          </w:p>
        </w:tc>
        <w:tc>
          <w:tcPr>
            <w:tcW w:w="12907" w:type="dxa"/>
          </w:tcPr>
          <w:p w14:paraId="1DAD3E72">
            <w:pPr>
              <w:tabs>
                <w:tab w:val="left" w:pos="9290"/>
              </w:tabs>
              <w:rPr>
                <w:bCs/>
              </w:rPr>
            </w:pPr>
            <w:r>
              <w:rPr>
                <w:bCs/>
              </w:rPr>
              <w:t>Гигиена организаций здравоохранения</w:t>
            </w:r>
          </w:p>
        </w:tc>
        <w:tc>
          <w:tcPr>
            <w:tcW w:w="567" w:type="dxa"/>
          </w:tcPr>
          <w:p w14:paraId="1A4167C5">
            <w:pPr>
              <w:tabs>
                <w:tab w:val="left" w:pos="9290"/>
              </w:tabs>
              <w:jc w:val="center"/>
            </w:pPr>
            <w:r>
              <w:t>48</w:t>
            </w:r>
          </w:p>
        </w:tc>
      </w:tr>
      <w:tr w14:paraId="0958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7DC72596">
            <w:pPr>
              <w:tabs>
                <w:tab w:val="left" w:pos="929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IV.</w:t>
            </w:r>
          </w:p>
        </w:tc>
        <w:tc>
          <w:tcPr>
            <w:tcW w:w="12907" w:type="dxa"/>
          </w:tcPr>
          <w:p w14:paraId="5BF9E95F">
            <w:pPr>
              <w:jc w:val="both"/>
            </w:pPr>
            <w:r>
              <w:rPr>
                <w:b/>
                <w:bCs/>
              </w:rPr>
              <w:t xml:space="preserve">ОБЕСПЕЧЕНИЕ САНИТАРНО-ПРОТИВОЭПИДЕМИЧЕСКОЙ УСТОЙЧИВОСТИ ТЕРРИТОРИИ </w:t>
            </w:r>
          </w:p>
        </w:tc>
        <w:tc>
          <w:tcPr>
            <w:tcW w:w="567" w:type="dxa"/>
          </w:tcPr>
          <w:p w14:paraId="1D7AC159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5</w:t>
            </w:r>
            <w:r>
              <w:rPr>
                <w:rFonts w:hint="default"/>
                <w:lang w:val="ru-RU"/>
              </w:rPr>
              <w:t>2</w:t>
            </w:r>
          </w:p>
        </w:tc>
      </w:tr>
      <w:tr w14:paraId="1AB2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17AA2FCB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12907" w:type="dxa"/>
          </w:tcPr>
          <w:p w14:paraId="76F84494">
            <w:pPr>
              <w:tabs>
                <w:tab w:val="left" w:pos="9290"/>
              </w:tabs>
            </w:pPr>
            <w:r>
              <w:rPr>
                <w:bCs/>
              </w:rPr>
              <w:t>Эпидемиологический анализ инфекционной заболеваемости</w:t>
            </w:r>
          </w:p>
        </w:tc>
        <w:tc>
          <w:tcPr>
            <w:tcW w:w="567" w:type="dxa"/>
          </w:tcPr>
          <w:p w14:paraId="2D6BC6B2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5</w:t>
            </w:r>
            <w:r>
              <w:rPr>
                <w:rFonts w:hint="default"/>
                <w:lang w:val="ru-RU"/>
              </w:rPr>
              <w:t>2</w:t>
            </w:r>
          </w:p>
        </w:tc>
      </w:tr>
      <w:tr w14:paraId="47F7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49496043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12907" w:type="dxa"/>
          </w:tcPr>
          <w:p w14:paraId="1EFEC588">
            <w:pPr>
              <w:tabs>
                <w:tab w:val="left" w:pos="9290"/>
              </w:tabs>
            </w:pPr>
            <w:r>
              <w:t>Эпидемиологический прогноз</w:t>
            </w:r>
          </w:p>
        </w:tc>
        <w:tc>
          <w:tcPr>
            <w:tcW w:w="567" w:type="dxa"/>
          </w:tcPr>
          <w:p w14:paraId="2EECA80E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5</w:t>
            </w:r>
            <w:r>
              <w:rPr>
                <w:rFonts w:hint="default"/>
                <w:lang w:val="ru-RU"/>
              </w:rPr>
              <w:t>7</w:t>
            </w:r>
          </w:p>
        </w:tc>
      </w:tr>
      <w:tr w14:paraId="6D75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0FB2A427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12907" w:type="dxa"/>
          </w:tcPr>
          <w:p w14:paraId="53501EE5">
            <w:pPr>
              <w:tabs>
                <w:tab w:val="left" w:pos="9290"/>
              </w:tabs>
              <w:rPr>
                <w:b/>
              </w:rPr>
            </w:pPr>
            <w:r>
              <w:t>Проблемный анализ направленности профилактических мероприятий по обеспечению санэпидблагополучия населения</w:t>
            </w:r>
          </w:p>
        </w:tc>
        <w:tc>
          <w:tcPr>
            <w:tcW w:w="567" w:type="dxa"/>
          </w:tcPr>
          <w:p w14:paraId="43BE0FE8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5</w:t>
            </w:r>
            <w:r>
              <w:rPr>
                <w:rFonts w:hint="default"/>
                <w:lang w:val="ru-RU"/>
              </w:rPr>
              <w:t>8</w:t>
            </w:r>
          </w:p>
        </w:tc>
      </w:tr>
      <w:tr w14:paraId="62D2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3F7A9FCC">
            <w:pPr>
              <w:tabs>
                <w:tab w:val="left" w:pos="929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V.</w:t>
            </w:r>
          </w:p>
        </w:tc>
        <w:tc>
          <w:tcPr>
            <w:tcW w:w="12907" w:type="dxa"/>
          </w:tcPr>
          <w:p w14:paraId="5E511DDD">
            <w:pPr>
              <w:tabs>
                <w:tab w:val="left" w:pos="9290"/>
              </w:tabs>
            </w:pPr>
            <w:r>
              <w:rPr>
                <w:b/>
              </w:rPr>
              <w:t>ФОРМИРОВАНИЕ ЗДОРОВОГО ОБРАЗА ЖИЗНИ</w:t>
            </w:r>
            <w:r>
              <w:rPr>
                <w:b/>
                <w:bCs/>
              </w:rPr>
              <w:t xml:space="preserve"> НАСЕЛЕНИЯ</w:t>
            </w:r>
          </w:p>
        </w:tc>
        <w:tc>
          <w:tcPr>
            <w:tcW w:w="567" w:type="dxa"/>
          </w:tcPr>
          <w:p w14:paraId="68F38F6F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5</w:t>
            </w:r>
            <w:r>
              <w:rPr>
                <w:rFonts w:hint="default"/>
                <w:lang w:val="ru-RU"/>
              </w:rPr>
              <w:t>8</w:t>
            </w:r>
          </w:p>
        </w:tc>
      </w:tr>
      <w:tr w14:paraId="41A9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40C2901E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12907" w:type="dxa"/>
          </w:tcPr>
          <w:p w14:paraId="031F97F5">
            <w:pPr>
              <w:tabs>
                <w:tab w:val="left" w:pos="9290"/>
              </w:tabs>
            </w:pPr>
            <w:r>
              <w:rPr>
                <w:i/>
              </w:rPr>
              <w:t>Анализ хода реализации профилактических проектов</w:t>
            </w:r>
          </w:p>
        </w:tc>
        <w:tc>
          <w:tcPr>
            <w:tcW w:w="567" w:type="dxa"/>
          </w:tcPr>
          <w:p w14:paraId="6E15494C">
            <w:pPr>
              <w:tabs>
                <w:tab w:val="left" w:pos="9290"/>
              </w:tabs>
              <w:jc w:val="center"/>
            </w:pPr>
            <w:r>
              <w:t>59</w:t>
            </w:r>
          </w:p>
        </w:tc>
      </w:tr>
      <w:tr w14:paraId="3B91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2EA018E0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12907" w:type="dxa"/>
          </w:tcPr>
          <w:p w14:paraId="4EE721A4">
            <w:pPr>
              <w:tabs>
                <w:tab w:val="left" w:pos="9290"/>
              </w:tabs>
              <w:rPr>
                <w:b/>
              </w:rPr>
            </w:pPr>
            <w:r>
              <w:rPr>
                <w:i/>
              </w:rPr>
              <w:t>Анализ и сравнительные оценки степени распространенности поведенческих рисков среди населения</w:t>
            </w:r>
          </w:p>
        </w:tc>
        <w:tc>
          <w:tcPr>
            <w:tcW w:w="567" w:type="dxa"/>
          </w:tcPr>
          <w:p w14:paraId="1402695F">
            <w:pPr>
              <w:tabs>
                <w:tab w:val="left" w:pos="9290"/>
              </w:tabs>
              <w:jc w:val="center"/>
            </w:pPr>
            <w:r>
              <w:t>61</w:t>
            </w:r>
          </w:p>
        </w:tc>
      </w:tr>
      <w:tr w14:paraId="33E1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49464F6B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</w:t>
            </w:r>
          </w:p>
        </w:tc>
        <w:tc>
          <w:tcPr>
            <w:tcW w:w="12907" w:type="dxa"/>
          </w:tcPr>
          <w:p w14:paraId="296184DA">
            <w:pPr>
              <w:tabs>
                <w:tab w:val="left" w:pos="9290"/>
              </w:tabs>
            </w:pPr>
            <w:r>
              <w:rPr>
                <w:b/>
              </w:rPr>
              <w:t>ОСНОВНЫЕ НАПРАВЛЕНИЯ ДЕЯТЕЛЬНОСТИ ПО УКРЕПЛЕНИЮ ЗДОРОВЬЯ НАСЕЛЕНИЯ ДЛЯ ДОСТИЖЕНИЯ ПОКАЗАТЕЛЕЙ ЦЕЛЕЙ УСТОЙЧИВОГО РАЗВИТИЯ</w:t>
            </w:r>
          </w:p>
        </w:tc>
        <w:tc>
          <w:tcPr>
            <w:tcW w:w="567" w:type="dxa"/>
          </w:tcPr>
          <w:p w14:paraId="1D3275E4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6</w:t>
            </w:r>
            <w:r>
              <w:rPr>
                <w:rFonts w:hint="default"/>
                <w:lang w:val="ru-RU"/>
              </w:rPr>
              <w:t>3</w:t>
            </w:r>
          </w:p>
        </w:tc>
      </w:tr>
      <w:tr w14:paraId="224F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68FADA88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12907" w:type="dxa"/>
          </w:tcPr>
          <w:p w14:paraId="7A9E7842">
            <w:pPr>
              <w:tabs>
                <w:tab w:val="left" w:pos="9290"/>
              </w:tabs>
            </w:pPr>
            <w:r>
              <w:t>Заключение о состоянии популяционного здоровья и среды обитания населения</w:t>
            </w:r>
          </w:p>
        </w:tc>
        <w:tc>
          <w:tcPr>
            <w:tcW w:w="567" w:type="dxa"/>
          </w:tcPr>
          <w:p w14:paraId="2C78688D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6</w:t>
            </w:r>
            <w:r>
              <w:rPr>
                <w:rFonts w:hint="default"/>
                <w:lang w:val="ru-RU"/>
              </w:rPr>
              <w:t>3</w:t>
            </w:r>
          </w:p>
        </w:tc>
      </w:tr>
      <w:tr w14:paraId="0755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64608382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12907" w:type="dxa"/>
          </w:tcPr>
          <w:p w14:paraId="65A1ED43">
            <w:pPr>
              <w:tabs>
                <w:tab w:val="left" w:pos="9290"/>
              </w:tabs>
            </w:pPr>
            <w:r>
              <w:t>Проблемно-целевой анализ достижения показателей и индикаторов ЦУР по вопросам здоровья населения</w:t>
            </w:r>
          </w:p>
        </w:tc>
        <w:tc>
          <w:tcPr>
            <w:tcW w:w="567" w:type="dxa"/>
          </w:tcPr>
          <w:p w14:paraId="101817C8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6</w:t>
            </w:r>
            <w:r>
              <w:rPr>
                <w:rFonts w:hint="default"/>
                <w:lang w:val="ru-RU"/>
              </w:rPr>
              <w:t>7</w:t>
            </w:r>
          </w:p>
        </w:tc>
      </w:tr>
      <w:tr w14:paraId="0A91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658C232D">
            <w:pPr>
              <w:tabs>
                <w:tab w:val="left" w:pos="9290"/>
              </w:tabs>
              <w:jc w:val="center"/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12907" w:type="dxa"/>
          </w:tcPr>
          <w:p w14:paraId="4C2E557B">
            <w:pPr>
              <w:tabs>
                <w:tab w:val="left" w:pos="9290"/>
              </w:tabs>
              <w:jc w:val="both"/>
            </w:pPr>
            <w:r>
              <w:t>Основные приоритетные направления деятельности по улучшению популяционного здоровья и среды обитания для достижения показателей Целей устойчивого развития</w:t>
            </w:r>
          </w:p>
        </w:tc>
        <w:tc>
          <w:tcPr>
            <w:tcW w:w="567" w:type="dxa"/>
          </w:tcPr>
          <w:p w14:paraId="28922B3F">
            <w:pPr>
              <w:tabs>
                <w:tab w:val="left" w:pos="9290"/>
              </w:tabs>
              <w:jc w:val="center"/>
            </w:pPr>
            <w:r>
              <w:t>73</w:t>
            </w:r>
          </w:p>
        </w:tc>
      </w:tr>
      <w:tr w14:paraId="036E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6" w:type="dxa"/>
          </w:tcPr>
          <w:p w14:paraId="1A8C9893">
            <w:pPr>
              <w:tabs>
                <w:tab w:val="left" w:pos="9290"/>
              </w:tabs>
              <w:jc w:val="center"/>
              <w:rPr>
                <w:b/>
              </w:rPr>
            </w:pPr>
          </w:p>
        </w:tc>
        <w:tc>
          <w:tcPr>
            <w:tcW w:w="12907" w:type="dxa"/>
          </w:tcPr>
          <w:p w14:paraId="1EC5EFE2">
            <w:pPr>
              <w:tabs>
                <w:tab w:val="left" w:pos="9290"/>
              </w:tabs>
              <w:jc w:val="both"/>
            </w:pPr>
            <w:r>
              <w:t>Приложения 1,2</w:t>
            </w:r>
          </w:p>
        </w:tc>
        <w:tc>
          <w:tcPr>
            <w:tcW w:w="567" w:type="dxa"/>
          </w:tcPr>
          <w:p w14:paraId="2A907896">
            <w:pPr>
              <w:tabs>
                <w:tab w:val="left" w:pos="9290"/>
              </w:tabs>
              <w:jc w:val="center"/>
              <w:rPr>
                <w:rFonts w:hint="default"/>
                <w:lang w:val="ru-RU"/>
              </w:rPr>
            </w:pPr>
            <w:r>
              <w:t>7</w:t>
            </w:r>
            <w:r>
              <w:rPr>
                <w:rFonts w:hint="default"/>
                <w:lang w:val="ru-RU"/>
              </w:rPr>
              <w:t>7</w:t>
            </w:r>
            <w:bookmarkStart w:id="11" w:name="_GoBack"/>
            <w:bookmarkEnd w:id="11"/>
          </w:p>
        </w:tc>
      </w:tr>
    </w:tbl>
    <w:p w14:paraId="4D5139E2">
      <w:pPr>
        <w:pStyle w:val="3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02678A1">
      <w:pPr>
        <w:pStyle w:val="3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EEE97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Информационно-аналитический бюллетень «Здоровье населения и окружающая среда Сенненского района»: достижение Целей устойчивого развития» подготовлен специалистами государственного учреждения «Сенненский районный центр гигиены и эпидемиологии». При подготовке сборника использованы официальные статистические данные Национального статистического комитета Республики Беларусь, Главного статистического управления Витебской области, учреждения здравоохранения «Сенненская центральная районная больница», государственного учреждения «Витебский областной центр гигиены и эпидемиологии и общественного здоровья», государственного учреждения «Сенненский районный центр гигиены и эпидемиологии». Информация, представленная в бюллетене, может быть использована для совершенствования профилактики заболеваний, охраны и укрепления здоровья.</w:t>
      </w:r>
    </w:p>
    <w:p w14:paraId="42258A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подготовке бюллетеня принимали участие специалисты государственного учреждения «Сенненский районный центр гигиены и эпидемиологии: Метелица С.Ф., главный врач; Бинтяй Т.В., помощник врача-гигиениста отделения гигиены детей и подростков; Мельцина А.Г., помощник врача-гигиениста отделения гигиены питания; Азерская М.В., Вертинская С.Л., помощники врача-гигиениста отделения коммунальной гигиены; Горовая Е.С., Горовая Ж.В., помощники врача-эпидемиолога.</w:t>
      </w:r>
    </w:p>
    <w:p w14:paraId="352D83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E2B74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Контактный телефон/факс 8 02135 5 18 53</w:t>
      </w:r>
    </w:p>
    <w:p w14:paraId="540E9186">
      <w:pPr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en-US"/>
        </w:rPr>
        <w:t>cge</w:t>
      </w:r>
      <w:r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  <w:lang w:val="en-US"/>
        </w:rPr>
        <w:t>senno</w:t>
      </w:r>
      <w:r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vitebsk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by</w:t>
      </w:r>
    </w:p>
    <w:p w14:paraId="4DF19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Бюллетень размещен на официальном интернет-сайте государственного учреждения «Сенненский районный центр гигиены и эпидемиологии» и общественного здоровья» </w:t>
      </w:r>
      <w:r>
        <w:rPr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"http://cgesenno.by/" </w:instrText>
      </w:r>
      <w:r>
        <w:fldChar w:fldCharType="separate"/>
      </w:r>
      <w:r>
        <w:rPr>
          <w:rStyle w:val="15"/>
          <w:sz w:val="28"/>
          <w:szCs w:val="28"/>
          <w:shd w:val="clear" w:color="auto" w:fill="FFFFFF"/>
        </w:rPr>
        <w:t>http://cgesenno.by/</w:t>
      </w:r>
      <w:r>
        <w:rPr>
          <w:rStyle w:val="15"/>
          <w:sz w:val="28"/>
          <w:szCs w:val="28"/>
          <w:shd w:val="clear" w:color="auto" w:fill="FFFFFF"/>
        </w:rPr>
        <w:fldChar w:fldCharType="end"/>
      </w:r>
      <w:r>
        <w:rPr>
          <w:sz w:val="28"/>
          <w:szCs w:val="28"/>
        </w:rPr>
        <w:t xml:space="preserve"> в разделе «Здоровье населения и окружающая среда»</w:t>
      </w:r>
    </w:p>
    <w:p w14:paraId="6A3667E8">
      <w:pPr>
        <w:jc w:val="both"/>
        <w:rPr>
          <w:sz w:val="28"/>
          <w:szCs w:val="28"/>
        </w:rPr>
      </w:pPr>
    </w:p>
    <w:p w14:paraId="44DC2018">
      <w:pPr>
        <w:jc w:val="both"/>
        <w:rPr>
          <w:sz w:val="28"/>
          <w:szCs w:val="28"/>
        </w:rPr>
      </w:pPr>
    </w:p>
    <w:p w14:paraId="5897BFC2">
      <w:pPr>
        <w:jc w:val="both"/>
        <w:rPr>
          <w:sz w:val="28"/>
          <w:szCs w:val="28"/>
        </w:rPr>
      </w:pPr>
    </w:p>
    <w:p w14:paraId="677D8F11">
      <w:pPr>
        <w:jc w:val="both"/>
        <w:rPr>
          <w:sz w:val="28"/>
          <w:szCs w:val="28"/>
        </w:rPr>
      </w:pPr>
    </w:p>
    <w:p w14:paraId="5F54C8F9">
      <w:pPr>
        <w:jc w:val="both"/>
        <w:rPr>
          <w:sz w:val="28"/>
          <w:szCs w:val="28"/>
        </w:rPr>
      </w:pPr>
    </w:p>
    <w:p w14:paraId="47C2DC2E">
      <w:pPr>
        <w:jc w:val="both"/>
        <w:rPr>
          <w:sz w:val="28"/>
          <w:szCs w:val="28"/>
        </w:rPr>
      </w:pPr>
    </w:p>
    <w:p w14:paraId="1985A874">
      <w:pPr>
        <w:jc w:val="both"/>
        <w:rPr>
          <w:sz w:val="28"/>
          <w:szCs w:val="28"/>
        </w:rPr>
      </w:pPr>
    </w:p>
    <w:p w14:paraId="379C3884">
      <w:pPr>
        <w:jc w:val="both"/>
        <w:rPr>
          <w:sz w:val="27"/>
          <w:szCs w:val="27"/>
        </w:rPr>
      </w:pPr>
    </w:p>
    <w:p w14:paraId="7F30F9A4">
      <w:pPr>
        <w:autoSpaceDE w:val="0"/>
        <w:autoSpaceDN w:val="0"/>
        <w:adjustRightInd w:val="0"/>
        <w:rPr>
          <w:sz w:val="27"/>
          <w:szCs w:val="27"/>
        </w:rPr>
      </w:pPr>
    </w:p>
    <w:p w14:paraId="14E5F2AE">
      <w:pPr>
        <w:autoSpaceDE w:val="0"/>
        <w:autoSpaceDN w:val="0"/>
        <w:adjustRightInd w:val="0"/>
        <w:rPr>
          <w:sz w:val="27"/>
          <w:szCs w:val="27"/>
        </w:rPr>
      </w:pPr>
    </w:p>
    <w:p w14:paraId="549BB87A">
      <w:pPr>
        <w:autoSpaceDE w:val="0"/>
        <w:autoSpaceDN w:val="0"/>
        <w:adjustRightInd w:val="0"/>
        <w:rPr>
          <w:sz w:val="27"/>
          <w:szCs w:val="27"/>
        </w:rPr>
      </w:pPr>
    </w:p>
    <w:p w14:paraId="76E0BCA1">
      <w:pPr>
        <w:autoSpaceDE w:val="0"/>
        <w:autoSpaceDN w:val="0"/>
        <w:adjustRightInd w:val="0"/>
        <w:rPr>
          <w:rFonts w:hint="default"/>
          <w:sz w:val="28"/>
          <w:szCs w:val="28"/>
          <w:lang w:val="en-US"/>
        </w:rPr>
      </w:pPr>
    </w:p>
    <w:p w14:paraId="26B1601B">
      <w:pPr>
        <w:autoSpaceDE w:val="0"/>
        <w:autoSpaceDN w:val="0"/>
        <w:adjustRightInd w:val="0"/>
        <w:rPr>
          <w:sz w:val="28"/>
          <w:szCs w:val="28"/>
        </w:rPr>
      </w:pPr>
    </w:p>
    <w:p w14:paraId="7DC0A9C5">
      <w:pPr>
        <w:pStyle w:val="3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3175</wp:posOffset>
            </wp:positionV>
            <wp:extent cx="3781425" cy="3041650"/>
            <wp:effectExtent l="0" t="0" r="9525" b="6350"/>
            <wp:wrapTight wrapText="bothSides">
              <wp:wrapPolygon>
                <wp:start x="0" y="0"/>
                <wp:lineTo x="0" y="21510"/>
                <wp:lineTo x="21546" y="21510"/>
                <wp:lineTo x="21546" y="0"/>
                <wp:lineTo x="0" y="0"/>
              </wp:wrapPolygon>
            </wp:wrapTight>
            <wp:docPr id="61" name="Рисунок 6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Население Сенненского района на 01.01.2025 года составляет 18622 человека, в том числе городское население – 9393 человек (г.Сенно - 7090, г.п. Богушевск - 2303), сельское - 9229 человек. Трудоспособного населения – 9625 человек.</w:t>
      </w:r>
    </w:p>
    <w:p w14:paraId="633DF315">
      <w:pPr>
        <w:pStyle w:val="3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Лидирующее положение по числу занятого трудоспособного населения и объему выпускаемой продукции занимает сельское хозяйство. </w:t>
      </w:r>
      <w:r>
        <w:rPr>
          <w:sz w:val="28"/>
          <w:szCs w:val="28"/>
          <w:shd w:val="clear" w:color="auto" w:fill="FFFFFF"/>
        </w:rPr>
        <w:t>Сельскохозяйственное производство в районе предоставляют 6 открытых акционерных собраний, унитарное сельскохозяйственное предприятие «Дружбинец», сельскохозяйственное унитарное предприятие «совхоз имени Машерова», филиал «Витебская опытная мелиоративная станция» Республиканского унитарного предприятия «Институт мелиорации». На их долю приходится 98% произведенной сельскохозяйственной продукции. Численность крестьянско-фермерских хозяйств составляет 23 единицы.</w:t>
      </w:r>
    </w:p>
    <w:p w14:paraId="5AA36B08">
      <w:pPr>
        <w:pStyle w:val="3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района специализируются на молочно-мясном животноводстве, производстве зерна, картофеля, овощей, семян рапса. </w:t>
      </w:r>
      <w:r>
        <w:rPr>
          <w:sz w:val="28"/>
          <w:szCs w:val="28"/>
          <w:shd w:val="clear" w:color="auto" w:fill="FFFFFF"/>
        </w:rPr>
        <w:t>За сельскохозяйственными организациями закреплено 53,7 тысяч гектаров сельскохозяйственных угодий, в том числе 39,4 тысяч гектар пашни. Средний балл сельскохозяйственных угодий составляет 25,3, пашни - 27,4.</w:t>
      </w:r>
      <w:r>
        <w:rPr>
          <w:sz w:val="28"/>
          <w:szCs w:val="28"/>
        </w:rPr>
        <w:t xml:space="preserve"> </w:t>
      </w:r>
    </w:p>
    <w:p w14:paraId="4A4DFC27">
      <w:pPr>
        <w:pStyle w:val="3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Промышленный комплекс района представляют 3 субъекта, в том числе 1 субъект областного подчинения (структурное подразделение «Богушевский спиртзавод» ОАО «Витебский ЛВЗ «Придвинье» – производство спирта этилового и углекислоты) и 2 предприятия, которые формируют официальный круг промышленных предприятий (Богушевское КУПБО «Престиж» – производство швейных изделий, Сенненское УП ЖКХ – производство и распределение теплоэнергии).</w:t>
      </w:r>
    </w:p>
    <w:p w14:paraId="2CCF53B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Сенненском районе 29 организаций, которые являются участниками внешнеэкономической деятельности. </w:t>
      </w:r>
    </w:p>
    <w:p w14:paraId="28CC3EE5">
      <w:pPr>
        <w:shd w:val="clear" w:color="auto" w:fill="FFFFFF"/>
        <w:ind w:firstLine="708"/>
        <w:jc w:val="both"/>
        <w:rPr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Ввод в эксплуатацию гелеоэнергетической установки «Пламя» стала первым шагом на пути Сенненского района к «зеленой» экономике. В 2024 году планировалось </w:t>
      </w:r>
      <w:r>
        <w:rPr>
          <w:sz w:val="28"/>
          <w:szCs w:val="28"/>
        </w:rPr>
        <w:t>строительство ветрогенераторной установки вблизи д. Андрейчики (приостановлено).</w:t>
      </w:r>
    </w:p>
    <w:p w14:paraId="3E95AAB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помощь населению оказывают 25 объектов (два субъекта) - УЗ «Сенненская ЦРБ», 1 больница сестринского ухода, 4 амбулатории врача общей практики, 16 ФАПов, 2 поста оказания скорой медицинской помощи и 1 организация здравоохранения негосударственной формы собственности (стоматологический кабинет).</w:t>
      </w:r>
    </w:p>
    <w:p w14:paraId="545D73CE">
      <w:pPr>
        <w:shd w:val="clear" w:color="auto" w:fill="FFFFFF"/>
        <w:ind w:firstLine="709"/>
        <w:jc w:val="both"/>
        <w:rPr>
          <w:sz w:val="27"/>
          <w:szCs w:val="27"/>
        </w:rPr>
      </w:pPr>
    </w:p>
    <w:p w14:paraId="0EC3DC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ТЕРМИНЫ И ОБОЗНАЧЕНИЯ</w:t>
      </w:r>
    </w:p>
    <w:p w14:paraId="0AECB5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Коэффициент рождаемости </w:t>
      </w:r>
      <w:r>
        <w:rPr>
          <w:sz w:val="28"/>
          <w:szCs w:val="28"/>
        </w:rPr>
        <w:t>– отношение числа живорождённых в течении данного года на 1000 человек из среднегодовой численности населения.</w:t>
      </w:r>
    </w:p>
    <w:p w14:paraId="35F59F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Коэффициент смертности </w:t>
      </w:r>
      <w:r>
        <w:rPr>
          <w:sz w:val="28"/>
          <w:szCs w:val="28"/>
        </w:rPr>
        <w:t>– отношение числа умерших в течении данного года на 1000 человек из среднегодовой численности населения.</w:t>
      </w:r>
    </w:p>
    <w:p w14:paraId="2AFD63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Среднегодовая численность</w:t>
      </w:r>
      <w:r>
        <w:rPr>
          <w:sz w:val="28"/>
          <w:szCs w:val="28"/>
        </w:rPr>
        <w:t xml:space="preserve"> – среднеарифметическая величина численности населения на начало текущего года и начало следующего года.</w:t>
      </w:r>
    </w:p>
    <w:p w14:paraId="55D4C5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Заболеваемость</w:t>
      </w:r>
      <w:r>
        <w:rPr>
          <w:sz w:val="28"/>
          <w:szCs w:val="28"/>
        </w:rPr>
        <w:t xml:space="preserve"> – медико-статистический показатель, определяющий число заболеваний, зарегистрированных за календарный год среди населения (число заболеваний, зарегистрированных как вновь возникших, так и ранее существовавших – </w:t>
      </w:r>
      <w:r>
        <w:rPr>
          <w:i/>
          <w:iCs/>
          <w:sz w:val="28"/>
          <w:szCs w:val="28"/>
        </w:rPr>
        <w:t>общая заболеваемость</w:t>
      </w:r>
      <w:r>
        <w:rPr>
          <w:sz w:val="28"/>
          <w:szCs w:val="28"/>
        </w:rPr>
        <w:t xml:space="preserve">, число заболеваний, впервые зарегистрированных – </w:t>
      </w:r>
      <w:r>
        <w:rPr>
          <w:i/>
          <w:iCs/>
          <w:sz w:val="28"/>
          <w:szCs w:val="28"/>
        </w:rPr>
        <w:t>первичная заболеваемость</w:t>
      </w:r>
      <w:r>
        <w:rPr>
          <w:sz w:val="28"/>
          <w:szCs w:val="28"/>
        </w:rPr>
        <w:t>), выражается числом заболевших на 1000, 10000, 100000 человек из среднегодовой численности населения:</w:t>
      </w:r>
    </w:p>
    <w:p w14:paraId="5EA0C50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00</w:t>
      </w:r>
      <w:r>
        <w:rPr>
          <w:sz w:val="28"/>
          <w:szCs w:val="28"/>
        </w:rPr>
        <w:t xml:space="preserve"> промилле (заболеваемость на 1000 человек)</w:t>
      </w:r>
    </w:p>
    <w:p w14:paraId="58B46D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 xml:space="preserve">000 </w:t>
      </w:r>
      <w:r>
        <w:rPr>
          <w:sz w:val="28"/>
          <w:szCs w:val="28"/>
        </w:rPr>
        <w:t>продецимилле (заболеваемость на 10000 человек)</w:t>
      </w:r>
    </w:p>
    <w:p w14:paraId="1CDA737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0000</w:t>
      </w:r>
      <w:r>
        <w:rPr>
          <w:sz w:val="28"/>
          <w:szCs w:val="28"/>
        </w:rPr>
        <w:t xml:space="preserve"> просантимилле (заболеваемость на 100000 человек)</w:t>
      </w:r>
    </w:p>
    <w:p w14:paraId="038B6D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Темп прироста</w:t>
      </w:r>
      <w:r>
        <w:rPr>
          <w:sz w:val="28"/>
          <w:szCs w:val="28"/>
        </w:rPr>
        <w:t xml:space="preserve"> – отношение абсолютного прироста к уровню, принятому за базовый. Относительный прирост вычисляется по формуле - число случаев, зарегистрированных в отчетном году минус число случаев, зарегистрированных в предыдущем году деленное на число случаев, зарегистрированное в предыдущем году, умноженное на 100.</w:t>
      </w:r>
    </w:p>
    <w:p w14:paraId="16FA4A9B">
      <w:pPr>
        <w:shd w:val="clear" w:color="auto" w:fill="FFFFFF"/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Средний (среднегодовой) темп прироста</w:t>
      </w:r>
      <w:r>
        <w:rPr>
          <w:sz w:val="28"/>
          <w:szCs w:val="28"/>
        </w:rPr>
        <w:t xml:space="preserve"> - </w:t>
      </w:r>
      <w:r>
        <w:rPr>
          <w:color w:val="202124"/>
          <w:sz w:val="28"/>
          <w:szCs w:val="28"/>
          <w:shd w:val="clear" w:color="auto" w:fill="FFFFFF"/>
        </w:rPr>
        <w:t>величина, отражающая среднюю величину из ежегодных темпов роста за определенный период времени (5, 10 лет и др.), характеризует среднюю интенсивность роста (среднюю многолетнюю тенденцию).  Средняя многолетняя тенденция оценивается следующим образом:</w:t>
      </w:r>
    </w:p>
    <w:p w14:paraId="1B0CD2DC">
      <w:pPr>
        <w:shd w:val="clear" w:color="auto" w:fill="FFFFFF"/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˂ ± 1% - тенденции к росту или снижению нет (показатель стабилен);</w:t>
      </w:r>
    </w:p>
    <w:p w14:paraId="5601FE63">
      <w:pPr>
        <w:shd w:val="clear" w:color="auto" w:fill="FFFFFF"/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± 1-5% - умеренная тенденция к росту или снижению;</w:t>
      </w:r>
    </w:p>
    <w:p w14:paraId="25890C36">
      <w:pPr>
        <w:shd w:val="clear" w:color="auto" w:fill="FFFFFF"/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˃ ± 5% - выраженная тенденция к росту.</w:t>
      </w:r>
    </w:p>
    <w:p w14:paraId="15A62AD8">
      <w:pPr>
        <w:shd w:val="clear" w:color="auto" w:fill="FFFFFF"/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i/>
          <w:iCs/>
          <w:color w:val="202124"/>
          <w:sz w:val="28"/>
          <w:szCs w:val="28"/>
          <w:shd w:val="clear" w:color="auto" w:fill="FFFFFF"/>
        </w:rPr>
        <w:t>НИП</w:t>
      </w:r>
      <w:r>
        <w:rPr>
          <w:color w:val="202124"/>
          <w:sz w:val="28"/>
          <w:szCs w:val="28"/>
          <w:shd w:val="clear" w:color="auto" w:fill="FFFFFF"/>
        </w:rPr>
        <w:t xml:space="preserve"> – нормированный интенсивный показатель заболеваемости представляет собой отношение показателя заболеваемости в конкретной группе наблюдения к нормирующему показателю в целом по региону (в качестве нормирующего используется среднеобластной показатель).</w:t>
      </w:r>
    </w:p>
    <w:p w14:paraId="22C64EED">
      <w:pPr>
        <w:shd w:val="clear" w:color="auto" w:fill="FFFFFF"/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i/>
          <w:iCs/>
          <w:color w:val="202124"/>
          <w:sz w:val="28"/>
          <w:szCs w:val="28"/>
          <w:shd w:val="clear" w:color="auto" w:fill="FFFFFF"/>
        </w:rPr>
        <w:t xml:space="preserve">Фоновый уровень – </w:t>
      </w:r>
      <w:r>
        <w:rPr>
          <w:color w:val="202124"/>
          <w:sz w:val="28"/>
          <w:szCs w:val="28"/>
          <w:shd w:val="clear" w:color="auto" w:fill="FFFFFF"/>
        </w:rPr>
        <w:t>«исходный» уровень параметра, характерный для данной территории, наблюдаемый в течении определенного периода времени, до начала проведения оценки ситуации.</w:t>
      </w:r>
    </w:p>
    <w:p w14:paraId="2CCEA5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Коэффициент достоверности аппроксимации R2 – оценивает степень близости аппроксимации экспериментальных данных выбранной функцией, принимает значения от 0 до 1. Значения R2≥0,95 – высокая точность аппроксимации; 0,75≤R2 – удовлетворительная аппроксимация; 0,5≤R2</w:t>
      </w:r>
    </w:p>
    <w:p w14:paraId="211EF1BE">
      <w:pPr>
        <w:jc w:val="both"/>
        <w:rPr>
          <w:b/>
          <w:sz w:val="28"/>
          <w:szCs w:val="28"/>
        </w:rPr>
      </w:pPr>
    </w:p>
    <w:p w14:paraId="3B2CD78C">
      <w:pPr>
        <w:ind w:firstLine="708"/>
        <w:jc w:val="center"/>
        <w:rPr>
          <w:bCs/>
          <w:sz w:val="27"/>
          <w:szCs w:val="27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ВВЕДЕНИЕ</w:t>
      </w:r>
    </w:p>
    <w:p w14:paraId="4255E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 Реализация государственной политики   по укреплению здоровья</w:t>
      </w:r>
    </w:p>
    <w:p w14:paraId="3B36FA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и приоритетами Государственной программы «Здоровье народа и демографическая безопасность» на 2021-2025 годы, Национальной стратегии Республики Беларусь «Активное долголетие – 2030» основные направления деятельности по укреплению здоровья населения, профилактике болезней и формированию среди населения здорового образа жизни (далее – ФЗОЖ) в 2024 году обеспечивались проведением мероприятий по следующим направлениям: </w:t>
      </w:r>
    </w:p>
    <w:p w14:paraId="4736826F">
      <w:pPr>
        <w:shd w:val="clear" w:color="auto" w:fill="FFFFFF"/>
        <w:ind w:firstLine="709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развитие современной, высокотехнологичной, комплексной, эффективной системы охраны здоровья;</w:t>
      </w:r>
    </w:p>
    <w:p w14:paraId="1136B14C">
      <w:pPr>
        <w:shd w:val="clear" w:color="auto" w:fill="FFFFFF"/>
        <w:ind w:firstLine="709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создание условий, позволяющих каждому человеку реализовать свое право на получение качественной и доступной медицинской помощи;</w:t>
      </w:r>
    </w:p>
    <w:p w14:paraId="7A3C635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реализацию мероприятий, направленных на стабилизацию демографической ситуации в регионе;</w:t>
      </w:r>
    </w:p>
    <w:p w14:paraId="79BBB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минимизацию неблагоприятного влияния на здоровье людей факторов среды обитания;</w:t>
      </w:r>
    </w:p>
    <w:p w14:paraId="30CD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массовых неинфекционных болезней;</w:t>
      </w:r>
    </w:p>
    <w:p w14:paraId="4CB33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инфекционной, паразитарной и профессиональной заболеваемости;</w:t>
      </w:r>
    </w:p>
    <w:p w14:paraId="13615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распространенности поведенческих рисков среди населения; </w:t>
      </w:r>
    </w:p>
    <w:p w14:paraId="18009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санитарно-эпидемиологического благополучия населения.</w:t>
      </w:r>
    </w:p>
    <w:p w14:paraId="64F94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государственном учреждении «Сенненский районный центр гигиены и эпидемиологии» на контроле для исполнения в рамках компетенции находились нормативные правовые акты и организационно-распорядительные документы Министерства здравоохранения Республики Беларусь, Витебского областного исполнительного комитета, главного управления по здравоохранению Витебского областного исполнительного комитета:</w:t>
      </w:r>
    </w:p>
    <w:p w14:paraId="4B5330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«Здоровье народа и демографическая безопасность» 2021-2025 годы; </w:t>
      </w:r>
    </w:p>
    <w:p w14:paraId="516B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здравоохранения Республики Беларусь «О совершенствовании работы по формированию здорового образа жизни» №11 от 10.01.2015;</w:t>
      </w:r>
    </w:p>
    <w:p w14:paraId="16C50FB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>
        <w:rPr>
          <w:bCs/>
          <w:iCs/>
          <w:sz w:val="28"/>
          <w:szCs w:val="28"/>
        </w:rPr>
        <w:t xml:space="preserve">риказ Министерства здравоохранения Республики Беларусь </w:t>
      </w:r>
      <w:r>
        <w:rPr>
          <w:bCs/>
          <w:sz w:val="28"/>
          <w:szCs w:val="28"/>
        </w:rPr>
        <w:t xml:space="preserve">«О показателях и индикаторах Целей устойчивого развития» </w:t>
      </w:r>
      <w:r>
        <w:rPr>
          <w:bCs/>
          <w:iCs/>
          <w:sz w:val="28"/>
          <w:szCs w:val="28"/>
        </w:rPr>
        <w:t>№961 от 09.08.2021</w:t>
      </w:r>
      <w:r>
        <w:rPr>
          <w:bCs/>
          <w:sz w:val="28"/>
          <w:szCs w:val="28"/>
        </w:rPr>
        <w:t>;</w:t>
      </w:r>
    </w:p>
    <w:p w14:paraId="37DAB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 мер по защите внутреннего рынка в 2023-2025 годах, утвержденного первым заместителем Премьер-министра Республики Беларусь 03.01.2023 № 32/810-7880/9 дсп;</w:t>
      </w:r>
    </w:p>
    <w:p w14:paraId="5C269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bCs/>
          <w:iCs/>
          <w:sz w:val="28"/>
          <w:szCs w:val="28"/>
        </w:rPr>
        <w:t xml:space="preserve">риказ Министерства здравоохранения Республики Беларусь </w:t>
      </w:r>
      <w:r>
        <w:rPr>
          <w:sz w:val="28"/>
          <w:szCs w:val="28"/>
        </w:rPr>
        <w:t xml:space="preserve">«О системе работы органов и учреждений, осуществляющих государственный санитарный надзор, по реализации показателей Целей устойчивого развития» </w:t>
      </w:r>
      <w:r>
        <w:rPr>
          <w:bCs/>
          <w:iCs/>
          <w:sz w:val="28"/>
          <w:szCs w:val="28"/>
        </w:rPr>
        <w:t>№ 1178 от 15.11.2018</w:t>
      </w:r>
      <w:r>
        <w:rPr>
          <w:sz w:val="28"/>
          <w:szCs w:val="28"/>
        </w:rPr>
        <w:t>.</w:t>
      </w:r>
    </w:p>
    <w:p w14:paraId="60D23E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Межведомственное взаимодействие в Сенненском районе по укреплению здоровья населения, улучшению качества окружающей среды, профилактики болезней и ФЗОЖ</w:t>
      </w:r>
      <w:r>
        <w:rPr>
          <w:bCs/>
          <w:sz w:val="28"/>
          <w:szCs w:val="28"/>
          <w:shd w:val="clear" w:color="auto" w:fill="FFFFFF"/>
        </w:rPr>
        <w:t xml:space="preserve"> в 2024 году </w:t>
      </w:r>
      <w:r>
        <w:rPr>
          <w:sz w:val="28"/>
          <w:szCs w:val="28"/>
        </w:rPr>
        <w:t xml:space="preserve">обеспечивалось проведением мероприятий по реализации мероприятий, утверждённых Сенненским районным исполнительным комитетом (районным Советом депутатов): </w:t>
      </w:r>
    </w:p>
    <w:p w14:paraId="7CA36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комплекс мероприятий по реализации Государственной программы «Здоровье народа и демографическая безопасность» 2021-2025 годы, утверждённый решением Сенненского районного Совета депутатов 30.06.2021 №2163;</w:t>
      </w:r>
    </w:p>
    <w:p w14:paraId="246344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 мероприятий по реализации на территории Сенненского района государственного профилактического проекта «Здоровые города и посёлки», утверждённый   заместителем председателя Сенненского районного исполнительного комитета 28.12.2022г.;  </w:t>
      </w:r>
    </w:p>
    <w:p w14:paraId="0F52D76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план мероприятий по наведению порядка на земле и благоустройству населённых пунктов, утверждённый решением Сенненского РИК от 28.03.2023 №298;</w:t>
      </w:r>
    </w:p>
    <w:p w14:paraId="781EF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осуществлению контроля за организацией питания в учреждениях общего среднего образования, утверждённый 17.11.2017 (актуализирован №163р 13.08.2021);</w:t>
      </w:r>
    </w:p>
    <w:p w14:paraId="57BBA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комплексный план мероприятий по борьбе с бешенством в Сенненском районе на 2021-2025 годы, утверждённый 20.07.2021 №97; </w:t>
      </w:r>
    </w:p>
    <w:p w14:paraId="547C6F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комплексный план мероприятий по профилактике ОКИ и сальмонеллеза среди населения Сенненского района на 2021-2025 годы, утверждённый 11.01.2021;</w:t>
      </w:r>
    </w:p>
    <w:p w14:paraId="44C0ABC4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комплексный план мероприятий по санитарной охране территории Сенненского района от заноса и распространения инфекционных заболеваний на 2021-2025 годы, </w:t>
      </w:r>
      <w:r>
        <w:rPr>
          <w:bCs/>
          <w:sz w:val="28"/>
          <w:szCs w:val="28"/>
        </w:rPr>
        <w:t xml:space="preserve">утвержденный </w:t>
      </w:r>
      <w:r>
        <w:rPr>
          <w:sz w:val="28"/>
          <w:szCs w:val="28"/>
        </w:rPr>
        <w:t>21.01.2021г;</w:t>
      </w:r>
    </w:p>
    <w:p w14:paraId="2E8A696D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планом действий по профилактике болезней и формированию здорового образа жизни для реализации показателей Целей устойчивого развития на территории Сенненского района на 2022-2024 годы, утвержденному председателем Сенненского районного исполнительного комитета 24.02.2022г.</w:t>
      </w:r>
    </w:p>
    <w:p w14:paraId="0EFB51AB">
      <w:pPr>
        <w:spacing w:after="120"/>
        <w:ind w:left="1429"/>
        <w:rPr>
          <w:rFonts w:eastAsia="Calibri"/>
          <w:b/>
          <w:sz w:val="28"/>
          <w:szCs w:val="28"/>
          <w:lang w:eastAsia="en-US"/>
        </w:rPr>
      </w:pPr>
    </w:p>
    <w:p w14:paraId="5A78C325">
      <w:pPr>
        <w:spacing w:after="120"/>
        <w:ind w:left="1429"/>
        <w:rPr>
          <w:rFonts w:eastAsia="Calibri"/>
          <w:b/>
          <w:sz w:val="28"/>
          <w:szCs w:val="28"/>
          <w:lang w:eastAsia="en-US"/>
        </w:rPr>
      </w:pPr>
    </w:p>
    <w:p w14:paraId="01C59CE4">
      <w:pPr>
        <w:spacing w:after="120"/>
        <w:ind w:left="1429"/>
        <w:rPr>
          <w:rFonts w:eastAsia="Calibri"/>
          <w:b/>
          <w:sz w:val="28"/>
          <w:szCs w:val="28"/>
          <w:lang w:eastAsia="en-US"/>
        </w:rPr>
      </w:pPr>
    </w:p>
    <w:p w14:paraId="7258AC70">
      <w:pPr>
        <w:spacing w:after="120"/>
        <w:ind w:left="142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Выполнение в 2024 году целевых показателей Государственной программы «Здоровье народа и демографическая безопасность Республики Беларусь» на 2021-2025 годы</w:t>
      </w:r>
    </w:p>
    <w:p w14:paraId="4EDC2857">
      <w:pPr>
        <w:spacing w:after="120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>Таблица 1</w:t>
      </w:r>
    </w:p>
    <w:tbl>
      <w:tblPr>
        <w:tblStyle w:val="11"/>
        <w:tblW w:w="150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4"/>
        <w:gridCol w:w="1134"/>
        <w:gridCol w:w="993"/>
        <w:gridCol w:w="2608"/>
      </w:tblGrid>
      <w:tr w14:paraId="0274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481E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91F4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22A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03C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выполнения</w:t>
            </w:r>
          </w:p>
          <w:p w14:paraId="399E216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плана,%</w:t>
            </w:r>
          </w:p>
        </w:tc>
      </w:tr>
      <w:tr w14:paraId="729C7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2DE2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Доступность качества медицинских услуг, не менее (процент)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B037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06D8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5CB1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105,26</w:t>
            </w:r>
          </w:p>
        </w:tc>
      </w:tr>
      <w:tr w14:paraId="2AFE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50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DA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1 «Семья и детство»</w:t>
            </w:r>
          </w:p>
        </w:tc>
      </w:tr>
      <w:tr w14:paraId="1376C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9D9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учреждений общего среднего образования, в которых реализуются программы педагогического просвещения родителей и (или) программы факультативных занятий, содержащие вопросы подготовки обучающихся к семейной жизни, в общем количестве таких учреждений (процент)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7B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563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100,0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C06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111,1</w:t>
            </w:r>
          </w:p>
        </w:tc>
      </w:tr>
      <w:tr w14:paraId="47E4D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DA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2 «Профилактика и контроль неинфекционных заболеваний»</w:t>
            </w:r>
          </w:p>
        </w:tc>
      </w:tr>
      <w:tr w14:paraId="628F7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14:paraId="31C160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Задача 1. Снижение влияния факторов риска неинфекционных заболеваний за счет создания единой профилактической среды</w:t>
            </w:r>
          </w:p>
        </w:tc>
      </w:tr>
      <w:tr w14:paraId="5199F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9A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Уровень распространенности употребления табака лицами в возрасте 16 лет и старше (процент)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97FA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2FE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5,</w:t>
            </w:r>
            <w:r>
              <w:rPr>
                <w:color w:val="000000"/>
                <w:sz w:val="22"/>
                <w:szCs w:val="22"/>
                <w:lang w:val="en-US"/>
              </w:rPr>
              <w:t>.4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FA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3A23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</w:tr>
      <w:tr w14:paraId="2FFC0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C9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Охват диспансеризацией взрослого населения, подлежащего обслуживанию в организации здравоохранения, не менее (процент)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838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E1A25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90.3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DE30C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100</w:t>
            </w:r>
          </w:p>
        </w:tc>
      </w:tr>
      <w:tr w14:paraId="1277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50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vAlign w:val="center"/>
          </w:tcPr>
          <w:p w14:paraId="71F9AD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Задача 2. Обеспечение всеобщего и доступного охвата населения услугами первичной медицинской помощи</w:t>
            </w:r>
          </w:p>
        </w:tc>
      </w:tr>
      <w:tr w14:paraId="7FF5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1D7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Охват населения работой команд врачей общей практики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F0AD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FD0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B6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14:paraId="49F91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vAlign w:val="center"/>
          </w:tcPr>
          <w:p w14:paraId="0F339C1F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EAF1DD" w:themeFill="accent3" w:themeFillTint="33"/>
              </w:rPr>
              <w:t>Задача 3. Снижение преждевременной смертности и стабилизация инвалидности населения, наступивших по причине неинфекционных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заболеваний</w:t>
            </w:r>
          </w:p>
        </w:tc>
      </w:tr>
      <w:tr w14:paraId="5ADB2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F4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тяжести первичного выхода на инвалидность лиц трудоспособного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5F8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B735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449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динамика положительная </w:t>
            </w:r>
          </w:p>
          <w:p w14:paraId="6A5CB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(-10,0%)</w:t>
            </w:r>
          </w:p>
          <w:p w14:paraId="00DA89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от план.значения</w:t>
            </w:r>
          </w:p>
        </w:tc>
      </w:tr>
      <w:tr w14:paraId="3F9D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3A6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выполненных интервенционных чрескожных вмешательств на артериях сердца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21B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1123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3944D">
            <w:pPr>
              <w:jc w:val="center"/>
              <w:rPr>
                <w:color w:val="000000"/>
                <w:highlight w:val="yellow"/>
              </w:rPr>
            </w:pPr>
          </w:p>
        </w:tc>
      </w:tr>
      <w:tr w14:paraId="3191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CC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выполненных имплантаций электрокардиостимуляторов и других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38B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5CED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DE61A">
            <w:pPr>
              <w:jc w:val="center"/>
              <w:rPr>
                <w:color w:val="000000"/>
                <w:highlight w:val="yellow"/>
              </w:rPr>
            </w:pPr>
          </w:p>
        </w:tc>
      </w:tr>
      <w:tr w14:paraId="4C46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61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Охват комплексным обследованием пациентов с острыми нарушениями мозгового кровообращения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F83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AC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6EAB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107,53</w:t>
            </w:r>
          </w:p>
        </w:tc>
      </w:tr>
      <w:tr w14:paraId="6573A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vAlign w:val="center"/>
          </w:tcPr>
          <w:p w14:paraId="42161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3 "Предупреждение пьянства и алкоголизма, охрана психического здоровья"</w:t>
            </w:r>
          </w:p>
        </w:tc>
      </w:tr>
      <w:tr w14:paraId="5329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926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Объем потребления зарегистрированного алкоголя на душу населения в возрасте 15 лет и старше в абсолютном алкоголе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477E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9A3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0E4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14:paraId="3763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84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Охват реабилитационными мероприятиями лиц, страдающих зависимостью от психоактивных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D17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0C1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62C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178,6</w:t>
            </w:r>
          </w:p>
        </w:tc>
      </w:tr>
      <w:tr w14:paraId="1819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E1D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4 «Противодействие распространению туберкулеза»</w:t>
            </w:r>
          </w:p>
        </w:tc>
      </w:tr>
      <w:tr w14:paraId="5801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3CC9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Задача 2. Совершенствование диагностики и лечения туберкулеза, предупреждение заболеваемости туберкулезом</w:t>
            </w:r>
          </w:p>
        </w:tc>
      </w:tr>
      <w:tr w14:paraId="7FCF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256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Заболеваемость туберкулезом (с учетом рецидивов) на 100 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298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AE79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3C4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161,9</w:t>
            </w:r>
          </w:p>
        </w:tc>
      </w:tr>
      <w:tr w14:paraId="40D4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F479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5 «Профилактика ВИЧ-инфекции»</w:t>
            </w:r>
          </w:p>
        </w:tc>
      </w:tr>
      <w:tr w14:paraId="70F8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4D8B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Задача 1. Обеспечение всеобщего доступа к диагностике, лечению, уходу и социальной поддержке в связи с ВИЧ-инфекцией, в том числе в пенитенциарной системе</w:t>
            </w:r>
          </w:p>
        </w:tc>
      </w:tr>
      <w:tr w14:paraId="44E4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A821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Охват антиретровирусной терапией людей, живущих с ВИЧ и знающих свой ВИЧ-положительный статус (процент)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857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F8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2FB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динамика положительная </w:t>
            </w:r>
          </w:p>
          <w:p w14:paraId="28C41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(-10,0%)</w:t>
            </w:r>
          </w:p>
          <w:p w14:paraId="34EEB6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от план.значения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14:paraId="070E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0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BD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Задача 2. Исключение вертикальной передачи ВИЧ-инфекции от матери ребенку и предупреждение случаев передачи ВИЧ, связанных с оказанием медицинской помощи</w:t>
            </w:r>
          </w:p>
        </w:tc>
      </w:tr>
      <w:tr w14:paraId="7683A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31F5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Риск передачи ВИЧ от ВИЧ-инфицированной матери ребенку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D6A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028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61656">
            <w:pPr>
              <w:jc w:val="center"/>
              <w:rPr>
                <w:color w:val="000000"/>
              </w:rPr>
            </w:pPr>
          </w:p>
        </w:tc>
      </w:tr>
      <w:tr w14:paraId="2E6E3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0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0D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Задача 3. Снижение заболеваемости, сдерживание распространения ВИЧ-инфекции в группах населения с наибольшим риском инфицирования ВИЧ и повышение эффективности информационно-образовательной работы по профилактике ВИЧ-инфекции, недопущение дискриминации в отношении людей, живущих с ВИЧ</w:t>
            </w:r>
          </w:p>
        </w:tc>
      </w:tr>
      <w:tr w14:paraId="0F29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CD1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Охват основных ключевых групп населения с высоким риском инфицирования ВИЧ-профилактическими мероприятиями (процент)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29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C04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7DD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104,5</w:t>
            </w:r>
          </w:p>
        </w:tc>
      </w:tr>
    </w:tbl>
    <w:p w14:paraId="39E2C26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D0C56B8"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righ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  <w:shd w:val="clear" w:fill="FFFFFF"/>
        </w:rPr>
        <w:t xml:space="preserve">Достижения в организации медицинской помощи населению Сенненского района в 2024 году </w:t>
      </w:r>
    </w:p>
    <w:p w14:paraId="00950373"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Выросла </w:t>
      </w:r>
      <w:r>
        <w:rPr>
          <w:rFonts w:hint="default" w:ascii="Times New Roman" w:hAnsi="Times New Roman" w:cs="Times New Roman"/>
          <w:color w:val="22262A"/>
          <w:sz w:val="28"/>
          <w:szCs w:val="28"/>
        </w:rPr>
        <w:t>доступность высокотехнологичной медпомощи пациентам с острым коронарным синдромом и острым нарушением мозгового кровообращения (ОНМК) в связи с разработанной маршрутизацией госпитализации пациентов с болезнями системы кровообращения (доставка в Витебскую областную клиническую больницу. Охват комплексным обследованием пациентов с ОНМК составил 100% случаев (при плане 90%). Показатель летальности от ОНМК нулевой (при плане не более17,5%).   </w:t>
      </w:r>
    </w:p>
    <w:p w14:paraId="219E9D5B"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</w:pPr>
      <w:r>
        <w:rPr>
          <w:rFonts w:hint="default" w:ascii="Times New Roman" w:hAnsi="Times New Roman" w:cs="Times New Roman"/>
          <w:color w:val="22262A"/>
          <w:sz w:val="28"/>
          <w:szCs w:val="28"/>
        </w:rPr>
        <w:t>За последние три года по району наблюдается снижение  первичной и общей наркологической заболеваемости за счет лиц, страдающих алкогольной зависимостью.</w:t>
      </w:r>
    </w:p>
    <w:p w14:paraId="4C27A816"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22262A"/>
          <w:sz w:val="28"/>
          <w:szCs w:val="28"/>
          <w:shd w:val="clear" w:fill="FFFFFF"/>
        </w:rPr>
        <w:t>Охват населения работой команд врачей общей практики составил 80% при целевом показателе 70%. Работает 1 передвижной ФАП.   Проведены косметические ремонты в Яновской и Мошканской БСУ.</w:t>
      </w:r>
    </w:p>
    <w:p w14:paraId="271FDE30"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22262A"/>
          <w:sz w:val="28"/>
          <w:szCs w:val="28"/>
          <w:shd w:val="clear" w:fill="FFFFFF"/>
        </w:rPr>
        <w:t> По итогам 2024 года диспансеризацию прошли 90,3% населения района из числа подлежащих, в т.ч. детей – 100%, взрослых – 90,1%.   Планируется улучшить показатель охвата диспансеризацией взрослого населения за счет информационной работы и взаимодействия с руководителями местных предприятий и организаций.</w:t>
      </w:r>
    </w:p>
    <w:p w14:paraId="6B0D95CD"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22262A"/>
          <w:sz w:val="28"/>
          <w:szCs w:val="28"/>
          <w:shd w:val="clear" w:fill="FFFFFF"/>
        </w:rPr>
        <w:t xml:space="preserve">В 2024 году 100% беременных прошли УЗ-обследование на выявление врожденных пороков плода, 96% беременных охвачены биохимическим скринингом. </w:t>
      </w:r>
    </w:p>
    <w:p w14:paraId="1523A4F3"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22262A"/>
          <w:sz w:val="28"/>
          <w:szCs w:val="28"/>
          <w:shd w:val="clear" w:fill="FFFFFF"/>
        </w:rPr>
        <w:t> </w:t>
      </w:r>
    </w:p>
    <w:p w14:paraId="152C4DDE">
      <w:pPr>
        <w:shd w:val="clear" w:color="auto" w:fill="FFFFFF"/>
        <w:ind w:firstLine="709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 xml:space="preserve"> </w:t>
      </w:r>
    </w:p>
    <w:p w14:paraId="2138DBB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5A87AF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ECF0D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48AF4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1.3 Достижение Целей устойчивого развития</w:t>
      </w:r>
    </w:p>
    <w:p w14:paraId="54B19A59">
      <w:pPr>
        <w:rPr>
          <w:rFonts w:eastAsia="Calibri"/>
          <w:b/>
          <w:sz w:val="28"/>
          <w:szCs w:val="28"/>
          <w:lang w:eastAsia="en-US"/>
        </w:rPr>
      </w:pPr>
    </w:p>
    <w:p w14:paraId="3C7B398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ноябре 2024 года в рамках заседания Совета по устойчивому развитию обсуждались результаты деятельности по реализации Повестки дня в области устойчивого развития на период до 2030 года в контексте национальных интересов Республики Беларусь.</w:t>
      </w:r>
    </w:p>
    <w:p w14:paraId="5E5B9B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Председателя Национального статистического комитета Республики Беларусь, член СУР, руководитель межсекторальной группы СУР по мониторингу и оценке достижения ЦУР Елена Кухаревич в своем выступлении подчеркнула: </w:t>
      </w:r>
      <w:r>
        <w:rPr>
          <w:i/>
          <w:iCs/>
          <w:color w:val="000000"/>
          <w:sz w:val="28"/>
          <w:szCs w:val="28"/>
        </w:rPr>
        <w:t>«Прошло 10 лет с момента принятия Повестки дня - 2030. Сегодня с уверенностью можно сказать, что, несмотря на внешние вызовы, Беларусь достойно выполняет все взятые на себя обязательства по достижению ЦУР».</w:t>
      </w:r>
    </w:p>
    <w:p w14:paraId="7B61EB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получения своевременных и достоверных данных для формирования политики регионального развития, в Беларуси </w:t>
      </w:r>
      <w:r>
        <w:rPr>
          <w:sz w:val="28"/>
          <w:szCs w:val="28"/>
        </w:rPr>
        <w:t xml:space="preserve">действует </w:t>
      </w:r>
      <w:r>
        <w:fldChar w:fldCharType="begin"/>
      </w:r>
      <w:r>
        <w:instrText xml:space="preserve"> HYPERLINK "https://sdgregions.belstat.gov.by/?regionId=all" </w:instrText>
      </w:r>
      <w:r>
        <w:fldChar w:fldCharType="separate"/>
      </w:r>
      <w:r>
        <w:rPr>
          <w:sz w:val="28"/>
          <w:szCs w:val="28"/>
        </w:rPr>
        <w:t>Платформа региональных данных по устойчивому развитию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ее основе 138 показателей, из которых 78 соответствуют показателям национального перечня, 60 отражают специфику развития регионов.</w:t>
      </w:r>
    </w:p>
    <w:p w14:paraId="768D05B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в Беларуси была проведена оценка прогресса в достижении Целей устойчивого развития. Оценка осуществлялась с использованием данных за 2015-2023 годы. Согласно оценке, 80,5% показателей продемонстрировали значительный прогресс. В 2024 году Беларусь заняла 30 место среди 166 стран в рейтинге достижения Целей устойчивого развития согласно </w:t>
      </w:r>
      <w:r>
        <w:fldChar w:fldCharType="begin"/>
      </w:r>
      <w:r>
        <w:instrText xml:space="preserve"> HYPERLINK "https://sdgtransformationcenter.org/reports/sustainable-development-report-2024" </w:instrText>
      </w:r>
      <w:r>
        <w:fldChar w:fldCharType="separate"/>
      </w:r>
      <w:r>
        <w:rPr>
          <w:color w:val="000000"/>
          <w:sz w:val="28"/>
          <w:szCs w:val="28"/>
          <w:u w:val="single"/>
        </w:rPr>
        <w:t>Sustainable Development Report 2024</w:t>
      </w:r>
      <w:r>
        <w:rPr>
          <w:color w:val="000000"/>
          <w:sz w:val="28"/>
          <w:szCs w:val="28"/>
          <w:u w:val="single"/>
        </w:rPr>
        <w:fldChar w:fldCharType="end"/>
      </w:r>
      <w:r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</w:rPr>
        <w:t xml:space="preserve"> Страны в нём ранжируются по общему баллу, которым измеряется прогресс в достижении всех 17 ЦУР.</w:t>
      </w:r>
    </w:p>
    <w:p w14:paraId="1B2163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Беларусь набрала 78,6 баллов из 100 возможных. Этот балл отражает общий прогресс страны в имплементации Повестки дня в области устойчивого развития на период до 2030 года и может быть интерпретирован как процент достижения ЦУР.</w:t>
      </w:r>
    </w:p>
    <w:p w14:paraId="6AFC729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Республике Беларусь сформирована Национальная стратегия устойчивого развития на период до 2040 года (НСУР –2040), в которой определены 5 приоритетов: семейные ценности и личностный рост; образование, ориентированное на технологическое развитие; технологическая независимость и интеллектуальная экономика; баланс бизнес-государство; экологическая безопасность. Выработаны механизмы их достижения.</w:t>
      </w:r>
    </w:p>
    <w:p w14:paraId="71C62E9A">
      <w:pPr>
        <w:pStyle w:val="37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выступлениях на заседания Совета по устойчивому развитию в 2024 году были отмечены следующие аспекты социальной направленности устойчивого развития: </w:t>
      </w:r>
    </w:p>
    <w:p w14:paraId="5AF6B910">
      <w:pPr>
        <w:pStyle w:val="37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эффективная реализация политика по интеграции людей с инвалидностью в общество путем создания условий для их независимого образа жизни и повышения мобильности, а также по обеспечению доступной среды, так на 1 октября 2024 г. доступными для всех граждан являются 21,5% объектов социальной инфраструктуры Беларуси; цель до 2025 – увеличить долю доступных объектов до 23,4%;</w:t>
      </w:r>
    </w:p>
    <w:p w14:paraId="4626830A">
      <w:pPr>
        <w:pStyle w:val="378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rStyle w:val="14"/>
          <w:i w:val="0"/>
          <w:iCs w:val="0"/>
          <w:color w:val="000000"/>
          <w:sz w:val="28"/>
          <w:szCs w:val="28"/>
        </w:rPr>
        <w:t>в настоящее время в 250 населенных пунктах страны активно реализуется проект «Здоровые города»</w:t>
      </w:r>
      <w:r>
        <w:rPr>
          <w:color w:val="000000"/>
          <w:sz w:val="28"/>
          <w:szCs w:val="28"/>
        </w:rPr>
        <w:t>;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rStyle w:val="14"/>
          <w:i w:val="0"/>
          <w:iCs w:val="0"/>
          <w:color w:val="000000"/>
          <w:sz w:val="28"/>
          <w:szCs w:val="28"/>
        </w:rPr>
        <w:t>для повышения медицинской доступности, в 11 городах с численностью населения более 80 тыс. человек созданы и функционируют межрайонные центры оказания специализированной и высокотехнологичной медицинской помощи; охват основными медико-санитарными услугами в стране составляет 87%;</w:t>
      </w:r>
    </w:p>
    <w:p w14:paraId="4E7DE382">
      <w:pPr>
        <w:pStyle w:val="37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стране утвержден и реализуется Национальный план действий по обеспечению гендерного равенства в Республике Беларусь на 2021-2025 годы; в 2024 году проведен второй этап социологического исследования с использованием международной методологии «Поколения и гендер»; реализуется инициатива «Компания, дружественная родителям», которую в 2024 году поддержали более 100 новых нанимателей.</w:t>
      </w:r>
    </w:p>
    <w:p w14:paraId="4E8DDA00">
      <w:pPr>
        <w:pStyle w:val="378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Устойчивое развитие невозможно без обеспечения экологически благоприятных условий для жизнедеятельности человека и общества в целом. В Республике Беларусь охрана окружающей среды затрагивает все природные компоненты и сферы деятельности государства и человека и предполагает необходимость решения комплекса задач, предусматривающих сохранение поверхностных водных объектов, повышение качества атмосферного воздуха, сохранение и восстановление природных экосистем и биологического разнообразия, </w:t>
      </w:r>
      <w:r>
        <w:rPr>
          <w:i/>
          <w:iCs/>
          <w:color w:val="000000"/>
          <w:sz w:val="28"/>
          <w:szCs w:val="28"/>
        </w:rPr>
        <w:t>как результат</w:t>
      </w:r>
      <w:r>
        <w:rPr>
          <w:rStyle w:val="14"/>
          <w:i w:val="0"/>
          <w:iCs w:val="0"/>
          <w:color w:val="000000"/>
          <w:sz w:val="28"/>
          <w:szCs w:val="28"/>
        </w:rPr>
        <w:t>: выполнено около 90% показателей в достижении ЦУР 15, порядка 80% ЦУР 6, демонстрируются значительные результаты по достижению показателей ЦУР 13 – порядка 75% и ЦУР 12 – 66,4%»</w:t>
      </w:r>
      <w:r>
        <w:rPr>
          <w:i/>
          <w:iCs/>
          <w:color w:val="000000"/>
          <w:sz w:val="28"/>
          <w:szCs w:val="28"/>
        </w:rPr>
        <w:t>.</w:t>
      </w:r>
    </w:p>
    <w:p w14:paraId="67AA42E2">
      <w:pPr>
        <w:tabs>
          <w:tab w:val="left" w:pos="284"/>
          <w:tab w:val="left" w:pos="426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Задачи по улучшению здоровья народа на основе дальнейшего повышения качества и доступности медицинской помощи всем слоям населения, усиления профилактической направленности при широком вовлечении людей в здоровый образ жизни отражены в цели №3 «Обеспечение здорового образа жизни и содействие благополучию для всех в любом возрасте», мониторинг отдельных показателей цели 3 делегирован санитарно-эпидемиологической службе.</w:t>
      </w:r>
    </w:p>
    <w:p w14:paraId="09D4C5A6">
      <w:pPr>
        <w:tabs>
          <w:tab w:val="left" w:pos="284"/>
          <w:tab w:val="left" w:pos="42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 достижения отдельных показателей ЦУР</w:t>
      </w:r>
    </w:p>
    <w:p w14:paraId="42AF3A36">
      <w:pPr>
        <w:tabs>
          <w:tab w:val="left" w:pos="284"/>
          <w:tab w:val="left" w:pos="426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2</w:t>
      </w:r>
    </w:p>
    <w:tbl>
      <w:tblPr>
        <w:tblStyle w:val="11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9145"/>
        <w:gridCol w:w="2287"/>
        <w:gridCol w:w="2249"/>
      </w:tblGrid>
      <w:tr w14:paraId="262B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758F957">
            <w:pPr>
              <w:tabs>
                <w:tab w:val="left" w:pos="284"/>
                <w:tab w:val="left" w:pos="426"/>
              </w:tabs>
              <w:jc w:val="center"/>
            </w:pPr>
            <w:r>
              <w:t>№/№</w:t>
            </w:r>
          </w:p>
        </w:tc>
        <w:tc>
          <w:tcPr>
            <w:tcW w:w="9145" w:type="dxa"/>
            <w:vAlign w:val="center"/>
          </w:tcPr>
          <w:p w14:paraId="0B6262A3">
            <w:pPr>
              <w:tabs>
                <w:tab w:val="left" w:pos="284"/>
                <w:tab w:val="left" w:pos="426"/>
              </w:tabs>
              <w:jc w:val="center"/>
            </w:pPr>
            <w:r>
              <w:t>Наименование показателя ЦУР</w:t>
            </w:r>
          </w:p>
        </w:tc>
        <w:tc>
          <w:tcPr>
            <w:tcW w:w="2287" w:type="dxa"/>
          </w:tcPr>
          <w:p w14:paraId="586ECD7F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значение</w:t>
            </w:r>
          </w:p>
          <w:p w14:paraId="2DCE6983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2249" w:type="dxa"/>
          </w:tcPr>
          <w:p w14:paraId="62B2A167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</w:p>
          <w:p w14:paraId="79E6CBF3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14:paraId="44299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5E8A6088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3.1.2</w:t>
            </w:r>
          </w:p>
        </w:tc>
        <w:tc>
          <w:tcPr>
            <w:tcW w:w="9145" w:type="dxa"/>
          </w:tcPr>
          <w:p w14:paraId="7DA63A0A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Доля родов, принятых квалифицированными медицинскими работниками (процент)</w:t>
            </w:r>
          </w:p>
        </w:tc>
        <w:tc>
          <w:tcPr>
            <w:tcW w:w="2287" w:type="dxa"/>
          </w:tcPr>
          <w:p w14:paraId="6D0D7C67">
            <w:pPr>
              <w:tabs>
                <w:tab w:val="left" w:pos="284"/>
                <w:tab w:val="left" w:pos="426"/>
              </w:tabs>
              <w:jc w:val="center"/>
            </w:pPr>
            <w:r>
              <w:t>99,8</w:t>
            </w:r>
          </w:p>
        </w:tc>
        <w:tc>
          <w:tcPr>
            <w:tcW w:w="2249" w:type="dxa"/>
          </w:tcPr>
          <w:p w14:paraId="396A757A">
            <w:pPr>
              <w:tabs>
                <w:tab w:val="left" w:pos="284"/>
                <w:tab w:val="left" w:pos="426"/>
              </w:tabs>
              <w:jc w:val="center"/>
            </w:pPr>
            <w:r>
              <w:t>100</w:t>
            </w:r>
          </w:p>
        </w:tc>
      </w:tr>
      <w:tr w14:paraId="1506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0BC9F48E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3.2.2</w:t>
            </w:r>
          </w:p>
        </w:tc>
        <w:tc>
          <w:tcPr>
            <w:tcW w:w="9145" w:type="dxa"/>
          </w:tcPr>
          <w:p w14:paraId="5DB796F8">
            <w:pPr>
              <w:tabs>
                <w:tab w:val="left" w:pos="284"/>
                <w:tab w:val="left" w:pos="426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Коэффициент неонатальной смертности (на 1000 родившихся живыми)</w:t>
            </w:r>
          </w:p>
        </w:tc>
        <w:tc>
          <w:tcPr>
            <w:tcW w:w="2287" w:type="dxa"/>
          </w:tcPr>
          <w:p w14:paraId="67278873">
            <w:pPr>
              <w:tabs>
                <w:tab w:val="left" w:pos="284"/>
                <w:tab w:val="left" w:pos="426"/>
              </w:tabs>
              <w:jc w:val="center"/>
            </w:pPr>
            <w:r>
              <w:t>1,4</w:t>
            </w:r>
          </w:p>
        </w:tc>
        <w:tc>
          <w:tcPr>
            <w:tcW w:w="2249" w:type="dxa"/>
          </w:tcPr>
          <w:p w14:paraId="72AA943E">
            <w:pPr>
              <w:tabs>
                <w:tab w:val="left" w:pos="284"/>
                <w:tab w:val="left" w:pos="426"/>
              </w:tabs>
              <w:jc w:val="center"/>
            </w:pPr>
            <w:r>
              <w:t>0</w:t>
            </w:r>
          </w:p>
        </w:tc>
      </w:tr>
      <w:tr w14:paraId="421A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2261BEE9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3.4.2</w:t>
            </w:r>
          </w:p>
        </w:tc>
        <w:tc>
          <w:tcPr>
            <w:tcW w:w="9145" w:type="dxa"/>
          </w:tcPr>
          <w:p w14:paraId="1AE5BCED">
            <w:pPr>
              <w:tabs>
                <w:tab w:val="left" w:pos="284"/>
                <w:tab w:val="left" w:pos="426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Смертность от самоубийств (на 100 000 человек населения)</w:t>
            </w:r>
          </w:p>
        </w:tc>
        <w:tc>
          <w:tcPr>
            <w:tcW w:w="2287" w:type="dxa"/>
          </w:tcPr>
          <w:p w14:paraId="7A8D8020">
            <w:pPr>
              <w:tabs>
                <w:tab w:val="left" w:pos="284"/>
                <w:tab w:val="left" w:pos="426"/>
              </w:tabs>
              <w:jc w:val="center"/>
            </w:pPr>
            <w:r>
              <w:t>17,5</w:t>
            </w:r>
          </w:p>
        </w:tc>
        <w:tc>
          <w:tcPr>
            <w:tcW w:w="2249" w:type="dxa"/>
          </w:tcPr>
          <w:p w14:paraId="21793606">
            <w:pPr>
              <w:tabs>
                <w:tab w:val="left" w:pos="284"/>
                <w:tab w:val="left" w:pos="426"/>
              </w:tabs>
              <w:jc w:val="center"/>
            </w:pPr>
            <w:r>
              <w:t>27,2</w:t>
            </w:r>
          </w:p>
        </w:tc>
      </w:tr>
      <w:tr w14:paraId="6AD5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082E3C26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3.с.0.0.1</w:t>
            </w:r>
          </w:p>
        </w:tc>
        <w:tc>
          <w:tcPr>
            <w:tcW w:w="9145" w:type="dxa"/>
          </w:tcPr>
          <w:p w14:paraId="70C62BBC">
            <w:pPr>
              <w:tabs>
                <w:tab w:val="left" w:pos="284"/>
                <w:tab w:val="left" w:pos="426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Ожидаемая продолжительность жизни при рождении</w:t>
            </w:r>
          </w:p>
        </w:tc>
        <w:tc>
          <w:tcPr>
            <w:tcW w:w="2287" w:type="dxa"/>
          </w:tcPr>
          <w:p w14:paraId="7D88B265">
            <w:pPr>
              <w:tabs>
                <w:tab w:val="left" w:pos="284"/>
                <w:tab w:val="left" w:pos="426"/>
              </w:tabs>
              <w:jc w:val="center"/>
            </w:pPr>
          </w:p>
        </w:tc>
        <w:tc>
          <w:tcPr>
            <w:tcW w:w="2249" w:type="dxa"/>
          </w:tcPr>
          <w:p w14:paraId="0030CA80">
            <w:pPr>
              <w:tabs>
                <w:tab w:val="left" w:pos="284"/>
                <w:tab w:val="left" w:pos="426"/>
              </w:tabs>
              <w:jc w:val="center"/>
            </w:pPr>
            <w:r>
              <w:t>73,5</w:t>
            </w:r>
          </w:p>
        </w:tc>
      </w:tr>
      <w:tr w14:paraId="2514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127B210C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rFonts w:eastAsia="Calibri"/>
                <w:b/>
                <w:bCs/>
                <w:lang w:eastAsia="en-US"/>
              </w:rPr>
              <w:t>3.3.1</w:t>
            </w:r>
          </w:p>
        </w:tc>
        <w:tc>
          <w:tcPr>
            <w:tcW w:w="9145" w:type="dxa"/>
          </w:tcPr>
          <w:p w14:paraId="18AF95DD">
            <w:pPr>
              <w:tabs>
                <w:tab w:val="left" w:pos="284"/>
                <w:tab w:val="left" w:pos="426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Число новых заражений ВИЧ на 1000 неинфицированных в разбивке по полу и возрасту</w:t>
            </w:r>
          </w:p>
        </w:tc>
        <w:tc>
          <w:tcPr>
            <w:tcW w:w="2287" w:type="dxa"/>
          </w:tcPr>
          <w:p w14:paraId="23150439">
            <w:pPr>
              <w:tabs>
                <w:tab w:val="left" w:pos="284"/>
                <w:tab w:val="left" w:pos="426"/>
              </w:tabs>
              <w:jc w:val="center"/>
            </w:pPr>
            <w:r>
              <w:t>0,20</w:t>
            </w:r>
          </w:p>
        </w:tc>
        <w:tc>
          <w:tcPr>
            <w:tcW w:w="2249" w:type="dxa"/>
          </w:tcPr>
          <w:p w14:paraId="784FB660">
            <w:pPr>
              <w:tabs>
                <w:tab w:val="left" w:pos="284"/>
                <w:tab w:val="left" w:pos="426"/>
              </w:tabs>
              <w:jc w:val="center"/>
              <w:rPr>
                <w:lang w:val="en-US"/>
              </w:rPr>
            </w:pPr>
            <w:r>
              <w:t>0,05</w:t>
            </w:r>
          </w:p>
        </w:tc>
      </w:tr>
      <w:tr w14:paraId="2C98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1E6C50CE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b/>
                <w:bCs/>
              </w:rPr>
              <w:t>3.</w:t>
            </w:r>
            <w:r>
              <w:rPr>
                <w:rFonts w:eastAsia="Calibri"/>
                <w:b/>
                <w:bCs/>
                <w:lang w:eastAsia="en-US"/>
              </w:rPr>
              <w:t>3.2</w:t>
            </w:r>
          </w:p>
        </w:tc>
        <w:tc>
          <w:tcPr>
            <w:tcW w:w="9145" w:type="dxa"/>
          </w:tcPr>
          <w:p w14:paraId="3C64B99D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rFonts w:eastAsia="Calibri"/>
                <w:lang w:eastAsia="en-US"/>
              </w:rPr>
              <w:t>Заболеваемость туберкулезом на 100 000 человек</w:t>
            </w:r>
          </w:p>
        </w:tc>
        <w:tc>
          <w:tcPr>
            <w:tcW w:w="2287" w:type="dxa"/>
          </w:tcPr>
          <w:p w14:paraId="7F31A083">
            <w:pPr>
              <w:tabs>
                <w:tab w:val="left" w:pos="284"/>
                <w:tab w:val="left" w:pos="426"/>
              </w:tabs>
              <w:jc w:val="center"/>
            </w:pPr>
            <w:r>
              <w:t>20,43</w:t>
            </w:r>
          </w:p>
        </w:tc>
        <w:tc>
          <w:tcPr>
            <w:tcW w:w="2249" w:type="dxa"/>
          </w:tcPr>
          <w:p w14:paraId="2DE7B1AF">
            <w:pPr>
              <w:tabs>
                <w:tab w:val="left" w:pos="284"/>
                <w:tab w:val="left" w:pos="426"/>
              </w:tabs>
              <w:jc w:val="center"/>
              <w:rPr>
                <w:lang w:val="en-US"/>
              </w:rPr>
            </w:pPr>
            <w:r>
              <w:t>27,2</w:t>
            </w:r>
          </w:p>
        </w:tc>
      </w:tr>
      <w:tr w14:paraId="7739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6B30A5C4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rFonts w:eastAsia="Calibri"/>
                <w:b/>
                <w:bCs/>
                <w:iCs/>
                <w:lang w:eastAsia="en-US"/>
              </w:rPr>
              <w:t>3.3.4</w:t>
            </w:r>
          </w:p>
        </w:tc>
        <w:tc>
          <w:tcPr>
            <w:tcW w:w="9145" w:type="dxa"/>
          </w:tcPr>
          <w:p w14:paraId="445440F8">
            <w:pPr>
              <w:tabs>
                <w:tab w:val="left" w:pos="284"/>
                <w:tab w:val="left" w:pos="426"/>
              </w:tabs>
              <w:jc w:val="both"/>
              <w:rPr>
                <w:highlight w:val="yellow"/>
              </w:rPr>
            </w:pPr>
            <w:r>
              <w:rPr>
                <w:rFonts w:eastAsia="Calibri"/>
                <w:iCs/>
                <w:lang w:eastAsia="en-US"/>
              </w:rPr>
              <w:t>Заболеваемость гепатитом В на 100 000 человек</w:t>
            </w:r>
          </w:p>
        </w:tc>
        <w:tc>
          <w:tcPr>
            <w:tcW w:w="2287" w:type="dxa"/>
          </w:tcPr>
          <w:p w14:paraId="6F4D522B">
            <w:pPr>
              <w:tabs>
                <w:tab w:val="left" w:pos="284"/>
                <w:tab w:val="left" w:pos="426"/>
              </w:tabs>
              <w:jc w:val="center"/>
            </w:pPr>
            <w:r>
              <w:t>0,5</w:t>
            </w:r>
          </w:p>
        </w:tc>
        <w:tc>
          <w:tcPr>
            <w:tcW w:w="2249" w:type="dxa"/>
          </w:tcPr>
          <w:p w14:paraId="045620EE">
            <w:pPr>
              <w:tabs>
                <w:tab w:val="left" w:pos="284"/>
                <w:tab w:val="left" w:pos="426"/>
              </w:tabs>
              <w:jc w:val="center"/>
            </w:pPr>
            <w:r>
              <w:t>5,4 (1 случай)</w:t>
            </w:r>
          </w:p>
        </w:tc>
      </w:tr>
      <w:tr w14:paraId="4DF8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0462CDCC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3.3.3</w:t>
            </w:r>
          </w:p>
        </w:tc>
        <w:tc>
          <w:tcPr>
            <w:tcW w:w="9145" w:type="dxa"/>
          </w:tcPr>
          <w:p w14:paraId="5D7DC614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Заболеваемость малярией на 1000 человек</w:t>
            </w:r>
          </w:p>
        </w:tc>
        <w:tc>
          <w:tcPr>
            <w:tcW w:w="2287" w:type="dxa"/>
          </w:tcPr>
          <w:p w14:paraId="3D24C53B">
            <w:pPr>
              <w:tabs>
                <w:tab w:val="left" w:pos="284"/>
                <w:tab w:val="left" w:pos="426"/>
              </w:tabs>
              <w:jc w:val="center"/>
            </w:pPr>
            <w:r>
              <w:t>0,00</w:t>
            </w:r>
          </w:p>
        </w:tc>
        <w:tc>
          <w:tcPr>
            <w:tcW w:w="2249" w:type="dxa"/>
          </w:tcPr>
          <w:p w14:paraId="46AF4BB7">
            <w:pPr>
              <w:tabs>
                <w:tab w:val="left" w:pos="284"/>
                <w:tab w:val="left" w:pos="426"/>
              </w:tabs>
              <w:jc w:val="center"/>
            </w:pPr>
            <w:r>
              <w:t>0</w:t>
            </w:r>
          </w:p>
        </w:tc>
      </w:tr>
      <w:tr w14:paraId="17FD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503F620F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/>
                <w:bCs/>
                <w:lang w:val="en-US" w:eastAsia="en-US"/>
              </w:rPr>
              <w:t>b</w:t>
            </w:r>
            <w:r>
              <w:rPr>
                <w:rFonts w:eastAsia="Calibri"/>
                <w:b/>
                <w:bCs/>
                <w:lang w:eastAsia="en-US"/>
              </w:rPr>
              <w:t>.1</w:t>
            </w:r>
          </w:p>
        </w:tc>
        <w:tc>
          <w:tcPr>
            <w:tcW w:w="13681" w:type="dxa"/>
            <w:gridSpan w:val="3"/>
          </w:tcPr>
          <w:p w14:paraId="2AA1B084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rFonts w:eastAsia="Calibri"/>
                <w:lang w:eastAsia="en-US"/>
              </w:rPr>
              <w:t>Доля целевой группы населения, охваченной иммунизацией всеми вакцинами, включенными в национальный календарь, %</w:t>
            </w:r>
          </w:p>
        </w:tc>
      </w:tr>
      <w:tr w14:paraId="7902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7630A605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9145" w:type="dxa"/>
          </w:tcPr>
          <w:p w14:paraId="435DF48B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color w:val="000000"/>
              </w:rPr>
              <w:t>вирусный гепатит B (V3)</w:t>
            </w:r>
          </w:p>
        </w:tc>
        <w:tc>
          <w:tcPr>
            <w:tcW w:w="2287" w:type="dxa"/>
          </w:tcPr>
          <w:p w14:paraId="067B538A">
            <w:pPr>
              <w:tabs>
                <w:tab w:val="left" w:pos="284"/>
                <w:tab w:val="left" w:pos="426"/>
              </w:tabs>
              <w:jc w:val="center"/>
            </w:pPr>
            <w:r>
              <w:t>97</w:t>
            </w:r>
          </w:p>
        </w:tc>
        <w:tc>
          <w:tcPr>
            <w:tcW w:w="2249" w:type="dxa"/>
            <w:vAlign w:val="center"/>
          </w:tcPr>
          <w:p w14:paraId="44407CD8">
            <w:pPr>
              <w:tabs>
                <w:tab w:val="left" w:pos="284"/>
                <w:tab w:val="left" w:pos="426"/>
              </w:tabs>
              <w:jc w:val="center"/>
            </w:pPr>
            <w:r>
              <w:t>98,2%</w:t>
            </w:r>
          </w:p>
        </w:tc>
      </w:tr>
      <w:tr w14:paraId="1277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68900A86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9145" w:type="dxa"/>
          </w:tcPr>
          <w:p w14:paraId="78F096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туберкулез (V) </w:t>
            </w:r>
          </w:p>
        </w:tc>
        <w:tc>
          <w:tcPr>
            <w:tcW w:w="2287" w:type="dxa"/>
          </w:tcPr>
          <w:p w14:paraId="40D68520">
            <w:pPr>
              <w:tabs>
                <w:tab w:val="left" w:pos="284"/>
                <w:tab w:val="left" w:pos="426"/>
              </w:tabs>
              <w:jc w:val="center"/>
            </w:pPr>
            <w:r>
              <w:t>97</w:t>
            </w:r>
          </w:p>
        </w:tc>
        <w:tc>
          <w:tcPr>
            <w:tcW w:w="2249" w:type="dxa"/>
            <w:vAlign w:val="center"/>
          </w:tcPr>
          <w:p w14:paraId="00BDF545">
            <w:pPr>
              <w:tabs>
                <w:tab w:val="left" w:pos="284"/>
                <w:tab w:val="left" w:pos="426"/>
              </w:tabs>
              <w:jc w:val="center"/>
            </w:pPr>
            <w:r>
              <w:t>98,1%</w:t>
            </w:r>
          </w:p>
        </w:tc>
      </w:tr>
      <w:tr w14:paraId="368D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7B534D0E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9145" w:type="dxa"/>
          </w:tcPr>
          <w:p w14:paraId="45C00C2E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color w:val="000000"/>
              </w:rPr>
              <w:t>дифтерия, столбняк, коклюш (V3)</w:t>
            </w:r>
          </w:p>
        </w:tc>
        <w:tc>
          <w:tcPr>
            <w:tcW w:w="2287" w:type="dxa"/>
          </w:tcPr>
          <w:p w14:paraId="73A02D21">
            <w:pPr>
              <w:tabs>
                <w:tab w:val="left" w:pos="284"/>
                <w:tab w:val="left" w:pos="426"/>
              </w:tabs>
              <w:jc w:val="center"/>
            </w:pPr>
            <w:r>
              <w:t>97</w:t>
            </w:r>
          </w:p>
        </w:tc>
        <w:tc>
          <w:tcPr>
            <w:tcW w:w="2249" w:type="dxa"/>
            <w:vAlign w:val="center"/>
          </w:tcPr>
          <w:p w14:paraId="62F044D2">
            <w:pPr>
              <w:tabs>
                <w:tab w:val="left" w:pos="284"/>
                <w:tab w:val="left" w:pos="426"/>
              </w:tabs>
              <w:jc w:val="center"/>
            </w:pPr>
            <w:r>
              <w:t>98,4%</w:t>
            </w:r>
          </w:p>
        </w:tc>
      </w:tr>
      <w:tr w14:paraId="61BF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5D365A61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9145" w:type="dxa"/>
          </w:tcPr>
          <w:p w14:paraId="09362E1B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color w:val="000000"/>
              </w:rPr>
              <w:t>полиомиелит</w:t>
            </w:r>
          </w:p>
        </w:tc>
        <w:tc>
          <w:tcPr>
            <w:tcW w:w="2287" w:type="dxa"/>
          </w:tcPr>
          <w:p w14:paraId="7E9386BD">
            <w:pPr>
              <w:tabs>
                <w:tab w:val="left" w:pos="284"/>
                <w:tab w:val="left" w:pos="42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249" w:type="dxa"/>
            <w:vAlign w:val="center"/>
          </w:tcPr>
          <w:p w14:paraId="7CA5050E">
            <w:pPr>
              <w:tabs>
                <w:tab w:val="left" w:pos="284"/>
                <w:tab w:val="left" w:pos="426"/>
              </w:tabs>
              <w:jc w:val="center"/>
            </w:pPr>
            <w:r>
              <w:t>98,4%</w:t>
            </w:r>
          </w:p>
        </w:tc>
      </w:tr>
      <w:tr w14:paraId="3305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1A526D38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9145" w:type="dxa"/>
          </w:tcPr>
          <w:p w14:paraId="6734BD08">
            <w:pPr>
              <w:tabs>
                <w:tab w:val="left" w:pos="284"/>
                <w:tab w:val="left" w:pos="426"/>
              </w:tabs>
              <w:jc w:val="both"/>
            </w:pPr>
            <w:r>
              <w:rPr>
                <w:color w:val="000000"/>
              </w:rPr>
              <w:t>корь, эпидемический паротит, краснуха (V1)</w:t>
            </w:r>
          </w:p>
        </w:tc>
        <w:tc>
          <w:tcPr>
            <w:tcW w:w="2287" w:type="dxa"/>
          </w:tcPr>
          <w:p w14:paraId="6D44C4E1">
            <w:pPr>
              <w:tabs>
                <w:tab w:val="left" w:pos="284"/>
                <w:tab w:val="left" w:pos="42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249" w:type="dxa"/>
            <w:vAlign w:val="center"/>
          </w:tcPr>
          <w:p w14:paraId="0241D7F0">
            <w:pPr>
              <w:tabs>
                <w:tab w:val="left" w:pos="284"/>
                <w:tab w:val="left" w:pos="426"/>
              </w:tabs>
              <w:jc w:val="center"/>
            </w:pPr>
            <w:r>
              <w:t>97,9%</w:t>
            </w:r>
          </w:p>
        </w:tc>
      </w:tr>
      <w:tr w14:paraId="2BC4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0126494C">
            <w:pPr>
              <w:tabs>
                <w:tab w:val="left" w:pos="284"/>
                <w:tab w:val="left" w:pos="42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3.а.1.1</w:t>
            </w:r>
          </w:p>
        </w:tc>
        <w:tc>
          <w:tcPr>
            <w:tcW w:w="9145" w:type="dxa"/>
          </w:tcPr>
          <w:p w14:paraId="34D6902C">
            <w:pPr>
              <w:tabs>
                <w:tab w:val="left" w:pos="284"/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Распространенность употребления табака лицами в возрасте 16 лет и старше (процент)</w:t>
            </w:r>
          </w:p>
        </w:tc>
        <w:tc>
          <w:tcPr>
            <w:tcW w:w="2287" w:type="dxa"/>
          </w:tcPr>
          <w:p w14:paraId="2665BE3B">
            <w:pPr>
              <w:tabs>
                <w:tab w:val="left" w:pos="284"/>
                <w:tab w:val="left" w:pos="42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отсутствует</w:t>
            </w:r>
          </w:p>
        </w:tc>
        <w:tc>
          <w:tcPr>
            <w:tcW w:w="2249" w:type="dxa"/>
          </w:tcPr>
          <w:p w14:paraId="675676F3">
            <w:pPr>
              <w:tabs>
                <w:tab w:val="left" w:pos="284"/>
                <w:tab w:val="left" w:pos="426"/>
              </w:tabs>
              <w:jc w:val="center"/>
            </w:pPr>
            <w:r>
              <w:t>25,4 (2023 год – 29,2%)</w:t>
            </w:r>
          </w:p>
          <w:p w14:paraId="283F9F09">
            <w:pPr>
              <w:tabs>
                <w:tab w:val="left" w:pos="284"/>
                <w:tab w:val="left" w:pos="426"/>
              </w:tabs>
              <w:jc w:val="center"/>
            </w:pPr>
          </w:p>
        </w:tc>
      </w:tr>
    </w:tbl>
    <w:p w14:paraId="1E997769">
      <w:pPr>
        <w:tabs>
          <w:tab w:val="left" w:pos="284"/>
          <w:tab w:val="left" w:pos="426"/>
        </w:tabs>
        <w:jc w:val="both"/>
        <w:rPr>
          <w:sz w:val="27"/>
          <w:szCs w:val="27"/>
        </w:rPr>
      </w:pP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>Для реализации межведомственного взаимодействия по профилактике болезней и достижению показателей ЦУР в Сенненском районе разработан совместно с местными органами власти «План действий по профилактике болезней и формированию здорового образа жизни для достижения показателей ЦУР» (далее План действий) на период 2022-2024 годы, утверждён 24.02.2022 года председателем Сенненского районного исполнительного комитета. План действий включает в себя комплекс мероприятий и задач для субъектов социально-экономической деятельности с целью достижения показателей ЦУР и минимизации рисков, связанных с состоянием окружающей среды, снижение уровня поведенческих рисков и, как следствие, снижение уровня неинфекционной заболеваемости.</w:t>
      </w:r>
      <w:r>
        <w:rPr>
          <w:sz w:val="28"/>
          <w:szCs w:val="28"/>
          <w:shd w:val="clear" w:color="auto" w:fill="FFFFFF"/>
        </w:rPr>
        <w:t xml:space="preserve">  В ноябре 2024 года проведен анализ выполнения Плана действий за 2022-2024гг., с учетом результатов анализа разработан и утвержден План действий на 2025-2027 годы.</w:t>
      </w:r>
    </w:p>
    <w:p w14:paraId="0D2476C5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1.4 Медико-демографический индекс</w:t>
      </w:r>
    </w:p>
    <w:p w14:paraId="4AED0A74">
      <w:pPr>
        <w:spacing w:after="12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53136058"/>
      <w:r>
        <w:rPr>
          <w:rFonts w:eastAsia="Calibri"/>
          <w:sz w:val="28"/>
          <w:szCs w:val="28"/>
          <w:lang w:eastAsia="en-US"/>
        </w:rPr>
        <w:t xml:space="preserve">Дифференциация территории Сенненского района проведена по участкам с приписными ФАПами: Сенненская ЦРБ, Ходцевская ВА, Богушевская поликлиника, Белицкая ВА, Яновская БСУ, Мошканская БСУ (далее – зонированные территории). На основании дифференциации проведён расчёт медико-демографических индексов здоровья (далее МДИ) для микротерриторий. Показатели, характеризующие здоровье население, выбранные для расчёта медико-демографического индекса (на 1000 населения): рождаемость, общая заболеваемость всего населения, первичная инвалидность трудоспособного населения.  При благополучии окружающей среды обобщенный индекс </w:t>
      </w:r>
      <w:r>
        <w:rPr>
          <w:rFonts w:eastAsia="Calibri"/>
          <w:b/>
          <w:bCs/>
          <w:sz w:val="28"/>
          <w:szCs w:val="28"/>
          <w:lang w:eastAsia="en-US"/>
        </w:rPr>
        <w:t>выше 65%.</w:t>
      </w:r>
      <w:r>
        <w:rPr>
          <w:rFonts w:eastAsia="Calibri"/>
          <w:sz w:val="28"/>
          <w:szCs w:val="28"/>
          <w:lang w:eastAsia="en-US"/>
        </w:rPr>
        <w:t xml:space="preserve"> </w:t>
      </w:r>
      <w:bookmarkEnd w:id="0"/>
    </w:p>
    <w:p w14:paraId="02B6E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>Таблица 3</w:t>
      </w:r>
    </w:p>
    <w:tbl>
      <w:tblPr>
        <w:tblStyle w:val="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047"/>
        <w:gridCol w:w="2061"/>
        <w:gridCol w:w="2150"/>
        <w:gridCol w:w="2061"/>
        <w:gridCol w:w="2048"/>
        <w:gridCol w:w="2076"/>
      </w:tblGrid>
      <w:tr w14:paraId="0CAE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3DFE45E1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Сенненская ЦРБ</w:t>
            </w:r>
          </w:p>
        </w:tc>
        <w:tc>
          <w:tcPr>
            <w:tcW w:w="2185" w:type="dxa"/>
          </w:tcPr>
          <w:p w14:paraId="5ECBA4C0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Белицкая ВА</w:t>
            </w:r>
          </w:p>
        </w:tc>
        <w:tc>
          <w:tcPr>
            <w:tcW w:w="2185" w:type="dxa"/>
          </w:tcPr>
          <w:p w14:paraId="457C4CB1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Яновская БСУ</w:t>
            </w:r>
          </w:p>
        </w:tc>
        <w:tc>
          <w:tcPr>
            <w:tcW w:w="2185" w:type="dxa"/>
          </w:tcPr>
          <w:p w14:paraId="4C96EE34">
            <w:pPr>
              <w:pStyle w:val="3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Богушевская поликлиника</w:t>
            </w:r>
          </w:p>
        </w:tc>
        <w:tc>
          <w:tcPr>
            <w:tcW w:w="2185" w:type="dxa"/>
          </w:tcPr>
          <w:p w14:paraId="553D1ACE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Мошканская БСУ</w:t>
            </w:r>
          </w:p>
        </w:tc>
        <w:tc>
          <w:tcPr>
            <w:tcW w:w="2186" w:type="dxa"/>
          </w:tcPr>
          <w:p w14:paraId="243A297A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Ходцевская ВА</w:t>
            </w:r>
          </w:p>
        </w:tc>
        <w:tc>
          <w:tcPr>
            <w:tcW w:w="2186" w:type="dxa"/>
          </w:tcPr>
          <w:p w14:paraId="66560296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Сенненский район</w:t>
            </w:r>
          </w:p>
        </w:tc>
      </w:tr>
      <w:tr w14:paraId="7D83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shd w:val="clear" w:color="auto" w:fill="92D050"/>
          </w:tcPr>
          <w:p w14:paraId="107935BD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85" w:type="dxa"/>
            <w:shd w:val="clear" w:color="auto" w:fill="FFC000"/>
          </w:tcPr>
          <w:p w14:paraId="150F4B09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85" w:type="dxa"/>
            <w:shd w:val="clear" w:color="auto" w:fill="92D050"/>
          </w:tcPr>
          <w:p w14:paraId="06BE54AA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185" w:type="dxa"/>
            <w:shd w:val="clear" w:color="auto" w:fill="92D050"/>
          </w:tcPr>
          <w:p w14:paraId="4EC2C0AB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85" w:type="dxa"/>
            <w:shd w:val="clear" w:color="auto" w:fill="92D050"/>
          </w:tcPr>
          <w:p w14:paraId="206641D4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186" w:type="dxa"/>
            <w:shd w:val="clear" w:color="auto" w:fill="92D050"/>
          </w:tcPr>
          <w:p w14:paraId="0DF83677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186" w:type="dxa"/>
            <w:shd w:val="clear" w:color="auto" w:fill="92D050"/>
          </w:tcPr>
          <w:p w14:paraId="064E1B8C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</w:tbl>
    <w:p w14:paraId="0537617E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СОСТОЯНИЕ ЗДОРОВЬЯ НАСЕЛЕНИЯ И РИСКИ</w:t>
      </w:r>
    </w:p>
    <w:p w14:paraId="7DE2C8A5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Состояние популяционного здоровья</w:t>
      </w:r>
    </w:p>
    <w:p w14:paraId="04CAAD72">
      <w:pPr>
        <w:tabs>
          <w:tab w:val="left" w:pos="851"/>
        </w:tabs>
        <w:jc w:val="center"/>
        <w:rPr>
          <w:b/>
          <w:sz w:val="28"/>
          <w:szCs w:val="28"/>
        </w:rPr>
      </w:pPr>
    </w:p>
    <w:p w14:paraId="0038637F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2.1.1 Медико-демографический статус</w:t>
      </w:r>
    </w:p>
    <w:p w14:paraId="2EEB2B55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p w14:paraId="56203ED4">
      <w:pPr>
        <w:tabs>
          <w:tab w:val="left" w:pos="851"/>
        </w:tabs>
        <w:rPr>
          <w:iCs/>
          <w:sz w:val="28"/>
          <w:szCs w:val="28"/>
        </w:rPr>
      </w:pPr>
      <w:r>
        <w:rPr>
          <w:i/>
          <w:sz w:val="28"/>
          <w:szCs w:val="28"/>
        </w:rPr>
        <w:t>Рисунок 1</w:t>
      </w:r>
      <w:r>
        <w:rPr>
          <w:rFonts w:hint="default"/>
          <w:i/>
          <w:sz w:val="28"/>
          <w:szCs w:val="28"/>
          <w:lang w:val="ru-RU"/>
        </w:rPr>
        <w:t xml:space="preserve">                                </w:t>
      </w:r>
      <w:r>
        <w:rPr>
          <w:iCs/>
          <w:sz w:val="28"/>
          <w:szCs w:val="28"/>
        </w:rPr>
        <w:t>Динамика численности населения на начало года Сенненского района</w:t>
      </w:r>
    </w:p>
    <w:p w14:paraId="2E172A3B">
      <w:pPr>
        <w:tabs>
          <w:tab w:val="left" w:pos="851"/>
        </w:tabs>
        <w:jc w:val="center"/>
        <w:rPr>
          <w:i/>
          <w:sz w:val="28"/>
          <w:szCs w:val="28"/>
        </w:rPr>
      </w:pPr>
      <w:r>
        <w:drawing>
          <wp:inline distT="0" distB="0" distL="0" distR="0">
            <wp:extent cx="7079615" cy="1445260"/>
            <wp:effectExtent l="0" t="0" r="6985" b="2540"/>
            <wp:docPr id="11704361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9BBF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главного статистического управления Витебской области по состоянию на 1 января 2025 года в Сенненском районе проживает 18132 человека, в том числе в городе 9 233 человек, в сельской местности 8899 человек (рис.1). Численность населения района занимает 16 место в Витебской области по численности населения, на его территории проживает 1,69% от численности всего населения области. Среднегодовая численность населения Сенненского района в 2024 году составила 18376 человек.</w:t>
      </w:r>
    </w:p>
    <w:p w14:paraId="5E2220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5 лет численность населения района уменьшилась на 2245 человека (-12,38%) (темп прироста за период 2021-2025 годы на начало года составил или 2,90%. Численность городского населения по сравнению с 2021 годом уменьшилась на 665 человек или 6,7% (темп прироста за период 2021-2025 годы (-1,69%).  Численность сельского населения по сравнению с 2021 годом уменьшилась на 1580 человек или 15,1% (темп прироста за период 2021-2025 годы (-4,10%). С 2023 года отмечается тенденция снижения численности сельского населения к городскому и удельный вес на начало 2025 года составил 49,1% и 50,9% соответственно.</w:t>
      </w:r>
    </w:p>
    <w:p w14:paraId="65B632B4">
      <w:pPr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Современное состояние демографической ситуации в Сенненском районе характеризуется естественной убылью населения, обусловленной низкой рождаемостью, высокой смертностью, ухудшением возрастной структуры и, как следствие, демографическим старением населения. </w:t>
      </w:r>
      <w:r>
        <w:rPr>
          <w:color w:val="000000"/>
          <w:sz w:val="28"/>
          <w:szCs w:val="28"/>
        </w:rPr>
        <w:t xml:space="preserve">За последние 5 лет число женщин репродуктивного возраста уменьшилось на 13,5% – с 7627 в 2020 г. до 6595 в 2024 г. Остаются низкими темпы естественного воспроизводства населения: в 2024 г. коэффициент рождаемости в районе составил всего 6,0 человека на тысячу населения. </w:t>
      </w:r>
    </w:p>
    <w:p w14:paraId="225182EA">
      <w:pPr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0142F88A">
      <w:pPr>
        <w:ind w:firstLine="709"/>
        <w:jc w:val="both"/>
        <w:rPr>
          <w:sz w:val="28"/>
          <w:szCs w:val="28"/>
        </w:rPr>
      </w:pPr>
    </w:p>
    <w:p w14:paraId="5E54F34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Рисунок 2                                                  Рисунок 3                                                                    Рисунок 4</w:t>
      </w:r>
    </w:p>
    <w:p w14:paraId="7C055E20">
      <w:pPr>
        <w:jc w:val="both"/>
        <w:rPr>
          <w:sz w:val="28"/>
          <w:szCs w:val="28"/>
        </w:rPr>
      </w:pPr>
      <w:r>
        <w:drawing>
          <wp:inline distT="0" distB="0" distL="0" distR="0">
            <wp:extent cx="2771775" cy="2066925"/>
            <wp:effectExtent l="0" t="0" r="9525" b="9525"/>
            <wp:docPr id="13050418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3181350" cy="2071370"/>
            <wp:effectExtent l="0" t="0" r="0" b="5080"/>
            <wp:docPr id="21257989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2895600" cy="2071370"/>
            <wp:effectExtent l="0" t="0" r="0" b="5080"/>
            <wp:docPr id="2559887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14:paraId="11FC07B6">
      <w:pPr>
        <w:ind w:firstLine="708" w:firstLineChars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начало 2024 года в общей структуре населения Сенненского района удельный вес мужского населения составляет – 46,5% (8666 чел.), женского – 53,5% (9956 чел.). </w:t>
      </w:r>
    </w:p>
    <w:p w14:paraId="7C123914">
      <w:pPr>
        <w:ind w:firstLine="708" w:firstLineChars="0"/>
        <w:jc w:val="both"/>
        <w:rPr>
          <w:bCs/>
          <w:sz w:val="28"/>
          <w:szCs w:val="28"/>
        </w:rPr>
      </w:pPr>
    </w:p>
    <w:p w14:paraId="0CC09B13">
      <w:pPr>
        <w:jc w:val="both"/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Рисунок 5</w:t>
      </w:r>
    </w:p>
    <w:p w14:paraId="5409E618">
      <w:pPr>
        <w:ind w:firstLine="708"/>
        <w:jc w:val="both"/>
        <w:rPr>
          <w:bCs/>
          <w:sz w:val="28"/>
          <w:szCs w:val="28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0</wp:posOffset>
            </wp:positionV>
            <wp:extent cx="4081145" cy="1918970"/>
            <wp:effectExtent l="0" t="0" r="9525" b="5080"/>
            <wp:wrapSquare wrapText="bothSides"/>
            <wp:docPr id="160992188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sz w:val="28"/>
          <w:szCs w:val="28"/>
        </w:rPr>
        <w:t xml:space="preserve">В возрастной структуре населения Сенненского района на 01.01.2024 года составляют 14,1% люди моложе трудоспособного возраста (область – 15,6%), 51,7% – трудоспособного возраста (область – 57,6%), 34,2% – старше трудоспособного возраста (обл. – 26,8%) </w:t>
      </w:r>
      <w:r>
        <w:rPr>
          <w:bCs/>
          <w:sz w:val="28"/>
          <w:szCs w:val="28"/>
        </w:rPr>
        <w:t>(рис. 4).</w:t>
      </w:r>
    </w:p>
    <w:p w14:paraId="1ACCF76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 в целом по республике, так и по району отмечается стабильное, стойкое снижение численности постоянного населения.</w:t>
      </w:r>
    </w:p>
    <w:p w14:paraId="443C8F6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6256197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6FF0BFCE">
      <w:pPr>
        <w:jc w:val="both"/>
        <w:rPr>
          <w:bCs/>
          <w:spacing w:val="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Демографическая безопасность - один из составляющих элементов национальной безопасности Республики Беларусь. Это состояние защищенности личности, общества и государства от воздействия демографических угроз, обеспечивающее стабилизацию численности населения, развитие человеческого потенциала страны, сохранение семейных и межпоколенческих связей. </w:t>
      </w:r>
      <w:r>
        <w:rPr>
          <w:sz w:val="28"/>
          <w:szCs w:val="28"/>
        </w:rPr>
        <w:t>Мероприятия по улучшению демографической ситуации включают </w:t>
      </w:r>
      <w:r>
        <w:rPr>
          <w:rStyle w:val="18"/>
          <w:b w:val="0"/>
          <w:sz w:val="28"/>
          <w:szCs w:val="28"/>
        </w:rPr>
        <w:t>стимулирование рождаемости и поддержку семей</w:t>
      </w:r>
      <w:r>
        <w:rPr>
          <w:sz w:val="28"/>
          <w:szCs w:val="28"/>
        </w:rPr>
        <w:t> (пособия, материнский капитал, доступное жилье), </w:t>
      </w:r>
      <w:r>
        <w:rPr>
          <w:sz w:val="28"/>
          <w:szCs w:val="28"/>
          <w:shd w:val="clear" w:color="auto" w:fill="FFFFFF"/>
        </w:rPr>
        <w:t>повышения качества и доступности услуг системы здравоохранения</w:t>
      </w:r>
      <w:r>
        <w:rPr>
          <w:sz w:val="28"/>
          <w:szCs w:val="28"/>
        </w:rPr>
        <w:t>, </w:t>
      </w:r>
      <w:r>
        <w:rPr>
          <w:rStyle w:val="18"/>
          <w:b w:val="0"/>
          <w:sz w:val="28"/>
          <w:szCs w:val="28"/>
        </w:rPr>
        <w:t>повышение уровня жизни и доходов населения</w:t>
      </w:r>
      <w:r>
        <w:rPr>
          <w:sz w:val="28"/>
          <w:szCs w:val="28"/>
        </w:rPr>
        <w:t>, а также </w:t>
      </w:r>
      <w:r>
        <w:rPr>
          <w:rStyle w:val="18"/>
          <w:b w:val="0"/>
          <w:sz w:val="28"/>
          <w:szCs w:val="28"/>
        </w:rPr>
        <w:t>миграционную политику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для компенсации естественной убыли населения </w:t>
      </w:r>
      <w:r>
        <w:rPr>
          <w:sz w:val="28"/>
          <w:szCs w:val="28"/>
          <w:shd w:val="clear" w:color="auto" w:fill="FFFFFF"/>
        </w:rPr>
        <w:t>. Важную роль играют </w:t>
      </w:r>
      <w:r>
        <w:rPr>
          <w:rStyle w:val="18"/>
          <w:b w:val="0"/>
          <w:sz w:val="28"/>
          <w:szCs w:val="28"/>
          <w:shd w:val="clear" w:color="auto" w:fill="FFFFFF"/>
        </w:rPr>
        <w:t>создание условий для работающих</w:t>
      </w:r>
      <w:r>
        <w:rPr>
          <w:rStyle w:val="18"/>
          <w:sz w:val="28"/>
          <w:szCs w:val="28"/>
          <w:shd w:val="clear" w:color="auto" w:fill="FFFFFF"/>
        </w:rPr>
        <w:t xml:space="preserve"> </w:t>
      </w:r>
      <w:r>
        <w:rPr>
          <w:rStyle w:val="18"/>
          <w:b w:val="0"/>
          <w:sz w:val="28"/>
          <w:szCs w:val="28"/>
          <w:shd w:val="clear" w:color="auto" w:fill="FFFFFF"/>
        </w:rPr>
        <w:t>родителей</w:t>
      </w:r>
      <w:r>
        <w:rPr>
          <w:sz w:val="28"/>
          <w:szCs w:val="28"/>
          <w:shd w:val="clear" w:color="auto" w:fill="FFFFFF"/>
        </w:rPr>
        <w:t>, развитие инфраструктуры, повышение образовательного уровня и укрепление института семьи в целом.</w:t>
      </w:r>
      <w:r>
        <w:rPr>
          <w:rStyle w:val="379"/>
          <w:sz w:val="28"/>
          <w:szCs w:val="28"/>
          <w:shd w:val="clear" w:color="auto" w:fill="FFFFFF"/>
        </w:rPr>
        <w:t> </w:t>
      </w:r>
    </w:p>
    <w:p w14:paraId="080A76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Сенненском районе реализуется республиканский профилактический проект: «Здоровые города и посёлки», в реализацию включен г. Сенно, аг.Мошканы и г.п.Богушевск. Все школы района вовлечены в межведомственный профилактический проект для учреждений общего среднего образования «Школа – территория здоровья», продолжает реализацию профилактический проект «Мама, папа Я – футбольная семья» и др., целью которых является привлечение внимания к формированию здорового образа жизни и улучшению качества среды жизнедеятельности.</w:t>
      </w:r>
    </w:p>
    <w:p w14:paraId="69049ACE">
      <w:pPr>
        <w:ind w:firstLine="708"/>
        <w:jc w:val="both"/>
        <w:rPr>
          <w:b/>
          <w:bCs/>
          <w:spacing w:val="1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B3B35D">
      <w:pPr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2.1.2 Заболеваемость населения Сенненского района, обусловленная социально-гигиеническими факторами среды жизнедеятельности</w:t>
      </w:r>
    </w:p>
    <w:p w14:paraId="38F4F185">
      <w:pPr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(показатели заболеваемости с впервые установленным диагнозом (далее – первичная)</w:t>
      </w:r>
    </w:p>
    <w:p w14:paraId="27E2432D">
      <w:pPr>
        <w:jc w:val="center"/>
        <w:rPr>
          <w:spacing w:val="1"/>
          <w:sz w:val="28"/>
          <w:szCs w:val="28"/>
        </w:rPr>
      </w:pPr>
      <w:r>
        <w:rPr>
          <w:spacing w:val="1"/>
          <w:sz w:val="20"/>
          <w:szCs w:val="20"/>
        </w:rPr>
        <w:t>(подготовлен по данным формы 1-заболеваемость (Минздрав) ОТЧЁТ о числе заболеваний, зарегистрированных у пациентов в возрасте 18 лет и старше, проживающих в районе обслуживания организации здравоохранения, оказывающей медицинскую помощь; форма 1-дети ОТЧЁТ о медицинской помощи детям)</w:t>
      </w:r>
      <w:r>
        <w:rPr>
          <w:spacing w:val="1"/>
          <w:sz w:val="28"/>
          <w:szCs w:val="28"/>
        </w:rPr>
        <w:t xml:space="preserve"> </w:t>
      </w:r>
    </w:p>
    <w:p w14:paraId="2E37D03E">
      <w:pPr>
        <w:jc w:val="center"/>
        <w:rPr>
          <w:i/>
          <w:iCs/>
          <w:spacing w:val="1"/>
          <w:sz w:val="28"/>
          <w:szCs w:val="28"/>
        </w:rPr>
      </w:pPr>
    </w:p>
    <w:p w14:paraId="2E3CAB86">
      <w:pPr>
        <w:jc w:val="center"/>
        <w:rPr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 xml:space="preserve">Общая заболеваемость населения Сенненского района </w:t>
      </w:r>
    </w:p>
    <w:p w14:paraId="688CF4B7">
      <w:pPr>
        <w:jc w:val="center"/>
        <w:rPr>
          <w:spacing w:val="1"/>
        </w:rPr>
      </w:pPr>
      <w:r>
        <w:rPr>
          <w:spacing w:val="1"/>
        </w:rPr>
        <w:t>(отчетная форма 1-заболеваемость)</w:t>
      </w:r>
    </w:p>
    <w:p w14:paraId="2B64E3E5">
      <w:pPr>
        <w:jc w:val="center"/>
        <w:rPr>
          <w:spacing w:val="1"/>
        </w:rPr>
      </w:pPr>
    </w:p>
    <w:p w14:paraId="029503CD">
      <w:pPr>
        <w:shd w:val="clear" w:color="auto" w:fill="FFFFFF"/>
        <w:ind w:firstLine="708"/>
        <w:jc w:val="both"/>
        <w:outlineLvl w:val="0"/>
        <w:rPr>
          <w:color w:val="000000"/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2024 году зарегистрировано 21549 случаев заболеваний населения острыми и хроническими болезнями, что составило 1172,7</w:t>
      </w:r>
      <w:r>
        <w:rPr>
          <w:sz w:val="28"/>
          <w:szCs w:val="28"/>
        </w:rPr>
        <w:t>‰</w:t>
      </w:r>
      <w:r>
        <w:rPr>
          <w:spacing w:val="1"/>
          <w:sz w:val="28"/>
          <w:szCs w:val="28"/>
        </w:rPr>
        <w:t xml:space="preserve"> (в 2023 году – 1140,9</w:t>
      </w:r>
      <w:r>
        <w:rPr>
          <w:sz w:val="28"/>
          <w:szCs w:val="28"/>
        </w:rPr>
        <w:t xml:space="preserve">‰). </w:t>
      </w:r>
      <w:r>
        <w:rPr>
          <w:spacing w:val="1"/>
          <w:sz w:val="28"/>
          <w:szCs w:val="28"/>
        </w:rPr>
        <w:t>В структуре общей заболеваемости по группам населения</w:t>
      </w:r>
      <w:r>
        <w:rPr>
          <w:color w:val="000000"/>
          <w:spacing w:val="1"/>
          <w:sz w:val="28"/>
          <w:szCs w:val="28"/>
        </w:rPr>
        <w:t xml:space="preserve"> дети 0-14 лет составили 9,3%, подростки 15-17 лет – 2,8%, взрослые 18 лет и старше 87,9% первичной заболеваемости – соответственно 21,6%, 5,0%, 73,4%.</w:t>
      </w:r>
    </w:p>
    <w:p w14:paraId="29BF71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Первичная заболеваемость населения</w:t>
      </w:r>
    </w:p>
    <w:p w14:paraId="7CF730CA">
      <w:pPr>
        <w:shd w:val="clear" w:color="auto" w:fill="FFFFFF"/>
        <w:jc w:val="both"/>
        <w:outlineLvl w:val="0"/>
        <w:rPr>
          <w:b/>
          <w:bCs/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Таблица 4</w:t>
      </w:r>
    </w:p>
    <w:tbl>
      <w:tblPr>
        <w:tblStyle w:val="11"/>
        <w:tblW w:w="11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180"/>
        <w:gridCol w:w="1088"/>
        <w:gridCol w:w="1984"/>
        <w:gridCol w:w="2224"/>
        <w:gridCol w:w="1842"/>
      </w:tblGrid>
      <w:tr w14:paraId="26CC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81" w:type="dxa"/>
          </w:tcPr>
          <w:p w14:paraId="15167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Первичная заболеваемость всего населения, ‰</w:t>
            </w:r>
          </w:p>
        </w:tc>
        <w:tc>
          <w:tcPr>
            <w:tcW w:w="1180" w:type="dxa"/>
            <w:vAlign w:val="center"/>
          </w:tcPr>
          <w:p w14:paraId="1A7F1B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088" w:type="dxa"/>
            <w:noWrap/>
            <w:vAlign w:val="center"/>
          </w:tcPr>
          <w:p w14:paraId="194AF38B">
            <w:pPr>
              <w:jc w:val="center"/>
            </w:pPr>
            <w:r>
              <w:t>2024</w:t>
            </w:r>
          </w:p>
        </w:tc>
        <w:tc>
          <w:tcPr>
            <w:tcW w:w="1984" w:type="dxa"/>
            <w:noWrap/>
            <w:vAlign w:val="center"/>
          </w:tcPr>
          <w:p w14:paraId="6B6DED04">
            <w:pPr>
              <w:jc w:val="center"/>
            </w:pPr>
            <w:r>
              <w:t>Среднегодовое значение 2015-2024 годы, ‰</w:t>
            </w:r>
          </w:p>
        </w:tc>
        <w:tc>
          <w:tcPr>
            <w:tcW w:w="2224" w:type="dxa"/>
            <w:noWrap/>
            <w:vAlign w:val="center"/>
          </w:tcPr>
          <w:p w14:paraId="732AA444">
            <w:pPr>
              <w:jc w:val="center"/>
            </w:pPr>
            <w:r>
              <w:t>Темп среднего прироста за период 2015-2024 годы, %</w:t>
            </w:r>
          </w:p>
        </w:tc>
        <w:tc>
          <w:tcPr>
            <w:tcW w:w="1842" w:type="dxa"/>
            <w:noWrap/>
            <w:vAlign w:val="center"/>
          </w:tcPr>
          <w:p w14:paraId="45ECC19C">
            <w:pPr>
              <w:jc w:val="center"/>
            </w:pPr>
            <w:r>
              <w:t>Темп прироста 2024/2023, %</w:t>
            </w:r>
          </w:p>
        </w:tc>
      </w:tr>
      <w:tr w14:paraId="55D6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81" w:type="dxa"/>
          </w:tcPr>
          <w:p w14:paraId="071B1BB7">
            <w:pPr>
              <w:jc w:val="center"/>
            </w:pPr>
            <w:r>
              <w:t>Сенненский район</w:t>
            </w:r>
          </w:p>
        </w:tc>
        <w:tc>
          <w:tcPr>
            <w:tcW w:w="1180" w:type="dxa"/>
            <w:noWrap/>
            <w:vAlign w:val="center"/>
          </w:tcPr>
          <w:p w14:paraId="3602F51A">
            <w:pPr>
              <w:jc w:val="center"/>
            </w:pPr>
            <w:r>
              <w:t>422,0</w:t>
            </w:r>
          </w:p>
        </w:tc>
        <w:tc>
          <w:tcPr>
            <w:tcW w:w="1088" w:type="dxa"/>
            <w:noWrap/>
            <w:vAlign w:val="center"/>
          </w:tcPr>
          <w:p w14:paraId="2A81B413">
            <w:pPr>
              <w:jc w:val="center"/>
            </w:pPr>
            <w:r>
              <w:t>424,4</w:t>
            </w:r>
          </w:p>
        </w:tc>
        <w:tc>
          <w:tcPr>
            <w:tcW w:w="1984" w:type="dxa"/>
            <w:noWrap/>
            <w:vAlign w:val="center"/>
          </w:tcPr>
          <w:p w14:paraId="4CE5F745">
            <w:pPr>
              <w:jc w:val="center"/>
            </w:pPr>
            <w:r>
              <w:t>514,1</w:t>
            </w:r>
          </w:p>
        </w:tc>
        <w:tc>
          <w:tcPr>
            <w:tcW w:w="2224" w:type="dxa"/>
            <w:noWrap/>
            <w:vAlign w:val="center"/>
          </w:tcPr>
          <w:p w14:paraId="2D4BFF03">
            <w:pPr>
              <w:jc w:val="center"/>
            </w:pPr>
            <w:r>
              <w:t>-3,7</w:t>
            </w:r>
          </w:p>
        </w:tc>
        <w:tc>
          <w:tcPr>
            <w:tcW w:w="1842" w:type="dxa"/>
            <w:noWrap/>
            <w:vAlign w:val="center"/>
          </w:tcPr>
          <w:p w14:paraId="5782F3F9">
            <w:pPr>
              <w:jc w:val="center"/>
            </w:pPr>
            <w:r>
              <w:t>+0,6</w:t>
            </w:r>
          </w:p>
        </w:tc>
      </w:tr>
      <w:tr w14:paraId="42BD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81" w:type="dxa"/>
          </w:tcPr>
          <w:p w14:paraId="2231FAD7">
            <w:pPr>
              <w:jc w:val="center"/>
            </w:pPr>
            <w:r>
              <w:t>Витебская область</w:t>
            </w:r>
          </w:p>
        </w:tc>
        <w:tc>
          <w:tcPr>
            <w:tcW w:w="1180" w:type="dxa"/>
            <w:noWrap/>
            <w:vAlign w:val="center"/>
          </w:tcPr>
          <w:p w14:paraId="7270C632">
            <w:pPr>
              <w:jc w:val="center"/>
            </w:pPr>
            <w:r>
              <w:t>844,5</w:t>
            </w:r>
          </w:p>
        </w:tc>
        <w:tc>
          <w:tcPr>
            <w:tcW w:w="1088" w:type="dxa"/>
            <w:noWrap/>
            <w:vAlign w:val="center"/>
          </w:tcPr>
          <w:p w14:paraId="6B705FED">
            <w:pPr>
              <w:jc w:val="center"/>
            </w:pPr>
            <w:r>
              <w:t>799,8</w:t>
            </w:r>
          </w:p>
        </w:tc>
        <w:tc>
          <w:tcPr>
            <w:tcW w:w="1984" w:type="dxa"/>
            <w:noWrap/>
            <w:vAlign w:val="center"/>
          </w:tcPr>
          <w:p w14:paraId="511CF95D">
            <w:pPr>
              <w:jc w:val="center"/>
            </w:pPr>
            <w:r>
              <w:t>782,7</w:t>
            </w:r>
          </w:p>
        </w:tc>
        <w:tc>
          <w:tcPr>
            <w:tcW w:w="2224" w:type="dxa"/>
            <w:noWrap/>
            <w:vAlign w:val="center"/>
          </w:tcPr>
          <w:p w14:paraId="5F973E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+2,2</w:t>
            </w:r>
          </w:p>
        </w:tc>
        <w:tc>
          <w:tcPr>
            <w:tcW w:w="1842" w:type="dxa"/>
            <w:noWrap/>
            <w:vAlign w:val="center"/>
          </w:tcPr>
          <w:p w14:paraId="4850118A">
            <w:pPr>
              <w:jc w:val="center"/>
            </w:pPr>
            <w:r>
              <w:t>-0,6</w:t>
            </w:r>
          </w:p>
        </w:tc>
      </w:tr>
    </w:tbl>
    <w:p w14:paraId="01871523">
      <w:pPr>
        <w:tabs>
          <w:tab w:val="left" w:pos="142"/>
          <w:tab w:val="left" w:pos="284"/>
        </w:tabs>
        <w:jc w:val="both"/>
        <w:rPr>
          <w:bCs/>
          <w:iCs/>
          <w:sz w:val="28"/>
          <w:szCs w:val="28"/>
        </w:rPr>
      </w:pPr>
    </w:p>
    <w:p w14:paraId="36427E10">
      <w:pPr>
        <w:tabs>
          <w:tab w:val="left" w:pos="142"/>
          <w:tab w:val="left" w:pos="284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Cs/>
          <w:iCs/>
          <w:sz w:val="28"/>
          <w:szCs w:val="28"/>
        </w:rPr>
        <w:t xml:space="preserve">Среднегодовой показатель за 10-летний период первичной заболеваемости населения Сенненского района ниже областного уровня в 1,5 раза.  </w:t>
      </w:r>
      <w:r>
        <w:rPr>
          <w:color w:val="000000"/>
          <w:spacing w:val="4"/>
          <w:sz w:val="28"/>
          <w:szCs w:val="28"/>
        </w:rPr>
        <w:t>Темп среднегодового прироста первичной заболеваемости всего населения за период 2015-2024 годы составил (-3,7%), многолетняя динамика характеризуется достоверной тенденцией к</w:t>
      </w:r>
      <w:r>
        <w:rPr>
          <w:color w:val="000000"/>
          <w:spacing w:val="1"/>
          <w:sz w:val="28"/>
          <w:szCs w:val="28"/>
        </w:rPr>
        <w:t xml:space="preserve"> умеренному снижению.</w:t>
      </w:r>
    </w:p>
    <w:p w14:paraId="2FEAF4F2">
      <w:pPr>
        <w:tabs>
          <w:tab w:val="left" w:pos="142"/>
          <w:tab w:val="left" w:pos="284"/>
        </w:tabs>
        <w:jc w:val="both"/>
        <w:rPr>
          <w:bCs/>
          <w:iCs/>
          <w:sz w:val="28"/>
          <w:szCs w:val="28"/>
        </w:rPr>
      </w:pPr>
      <w:r>
        <w:rPr>
          <w:i/>
          <w:sz w:val="28"/>
          <w:szCs w:val="28"/>
        </w:rPr>
        <w:t xml:space="preserve">Рисунок 6 </w:t>
      </w:r>
      <w:r>
        <w:rPr>
          <w:sz w:val="28"/>
          <w:szCs w:val="28"/>
        </w:rPr>
        <w:t>Структура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первичной заболеваемости населения</w:t>
      </w:r>
      <w:r>
        <w:rPr>
          <w:color w:val="000000"/>
          <w:spacing w:val="1"/>
          <w:sz w:val="28"/>
          <w:szCs w:val="28"/>
        </w:rPr>
        <w:t xml:space="preserve"> в 2024 году        </w:t>
      </w:r>
    </w:p>
    <w:p w14:paraId="63C3B1A4">
      <w:pPr>
        <w:jc w:val="both"/>
        <w:rPr>
          <w:color w:val="000000"/>
          <w:spacing w:val="1"/>
          <w:sz w:val="28"/>
          <w:szCs w:val="28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60325</wp:posOffset>
            </wp:positionV>
            <wp:extent cx="4638675" cy="2589530"/>
            <wp:effectExtent l="4445" t="4445" r="5080" b="12065"/>
            <wp:wrapSquare wrapText="bothSides"/>
            <wp:docPr id="1537663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color w:val="000000"/>
          <w:spacing w:val="1"/>
          <w:sz w:val="28"/>
          <w:szCs w:val="28"/>
        </w:rPr>
        <w:t xml:space="preserve"> </w:t>
      </w:r>
    </w:p>
    <w:p w14:paraId="6582D697">
      <w:pPr>
        <w:ind w:firstLine="708"/>
        <w:jc w:val="both"/>
        <w:rPr>
          <w:color w:val="000000"/>
          <w:spacing w:val="1"/>
          <w:sz w:val="28"/>
          <w:szCs w:val="28"/>
          <w:lang w:val="be-BY"/>
        </w:rPr>
      </w:pPr>
      <w:r>
        <w:rPr>
          <w:color w:val="000000"/>
          <w:spacing w:val="1"/>
          <w:sz w:val="28"/>
          <w:szCs w:val="28"/>
        </w:rPr>
        <w:t xml:space="preserve">В 2024 году в структуре заболеваемости  </w:t>
      </w:r>
      <w:r>
        <w:rPr>
          <w:i/>
          <w:iCs/>
          <w:color w:val="000000"/>
          <w:spacing w:val="1"/>
          <w:sz w:val="28"/>
          <w:szCs w:val="28"/>
        </w:rPr>
        <w:t>лидируют болезни органов дыхания</w:t>
      </w:r>
      <w:r>
        <w:rPr>
          <w:color w:val="000000"/>
          <w:spacing w:val="1"/>
          <w:sz w:val="28"/>
          <w:szCs w:val="28"/>
        </w:rPr>
        <w:t xml:space="preserve"> – </w:t>
      </w:r>
      <w:r>
        <w:rPr>
          <w:color w:val="000000"/>
          <w:spacing w:val="1"/>
          <w:sz w:val="28"/>
          <w:szCs w:val="28"/>
          <w:lang w:val="be-BY"/>
        </w:rPr>
        <w:t>64,8</w:t>
      </w:r>
      <w:r>
        <w:rPr>
          <w:color w:val="000000"/>
          <w:spacing w:val="1"/>
          <w:sz w:val="28"/>
          <w:szCs w:val="28"/>
        </w:rPr>
        <w:t xml:space="preserve">% (для сравнения 2015 год – </w:t>
      </w:r>
      <w:r>
        <w:rPr>
          <w:color w:val="000000"/>
          <w:spacing w:val="1"/>
          <w:sz w:val="28"/>
          <w:szCs w:val="28"/>
          <w:lang w:val="be-BY"/>
        </w:rPr>
        <w:t>63,9</w:t>
      </w:r>
      <w:r>
        <w:rPr>
          <w:i/>
          <w:iCs/>
          <w:color w:val="000000"/>
          <w:spacing w:val="1"/>
          <w:sz w:val="28"/>
          <w:szCs w:val="28"/>
        </w:rPr>
        <w:t>%), на втором месте - травмы и отравления</w:t>
      </w:r>
      <w:r>
        <w:rPr>
          <w:color w:val="000000"/>
          <w:spacing w:val="1"/>
          <w:sz w:val="28"/>
          <w:szCs w:val="28"/>
        </w:rPr>
        <w:t xml:space="preserve"> – 9,9% (201</w:t>
      </w:r>
      <w:r>
        <w:rPr>
          <w:color w:val="000000"/>
          <w:spacing w:val="1"/>
          <w:sz w:val="28"/>
          <w:szCs w:val="28"/>
          <w:lang w:val="be-BY"/>
        </w:rPr>
        <w:t xml:space="preserve">5 </w:t>
      </w:r>
      <w:r>
        <w:rPr>
          <w:color w:val="000000"/>
          <w:spacing w:val="1"/>
          <w:sz w:val="28"/>
          <w:szCs w:val="28"/>
        </w:rPr>
        <w:t xml:space="preserve">год – </w:t>
      </w:r>
      <w:r>
        <w:rPr>
          <w:color w:val="000000"/>
          <w:spacing w:val="1"/>
          <w:sz w:val="28"/>
          <w:szCs w:val="28"/>
          <w:lang w:val="be-BY"/>
        </w:rPr>
        <w:t>12,3</w:t>
      </w:r>
      <w:r>
        <w:rPr>
          <w:color w:val="000000"/>
          <w:spacing w:val="1"/>
          <w:sz w:val="28"/>
          <w:szCs w:val="28"/>
        </w:rPr>
        <w:t xml:space="preserve">%), на </w:t>
      </w:r>
      <w:r>
        <w:rPr>
          <w:i/>
          <w:iCs/>
          <w:color w:val="000000"/>
          <w:spacing w:val="1"/>
          <w:sz w:val="28"/>
          <w:szCs w:val="28"/>
        </w:rPr>
        <w:t>третьем месте - болезни системы кровообращения</w:t>
      </w:r>
      <w:r>
        <w:rPr>
          <w:color w:val="000000"/>
          <w:spacing w:val="1"/>
          <w:sz w:val="28"/>
          <w:szCs w:val="28"/>
        </w:rPr>
        <w:t xml:space="preserve"> – </w:t>
      </w:r>
      <w:r>
        <w:rPr>
          <w:color w:val="000000"/>
          <w:spacing w:val="1"/>
          <w:sz w:val="28"/>
          <w:szCs w:val="28"/>
          <w:lang w:val="be-BY"/>
        </w:rPr>
        <w:t>5,1</w:t>
      </w:r>
      <w:r>
        <w:rPr>
          <w:color w:val="000000"/>
          <w:spacing w:val="1"/>
          <w:sz w:val="28"/>
          <w:szCs w:val="28"/>
        </w:rPr>
        <w:t xml:space="preserve">% (2015 год – </w:t>
      </w:r>
      <w:r>
        <w:rPr>
          <w:color w:val="000000"/>
          <w:spacing w:val="1"/>
          <w:sz w:val="28"/>
          <w:szCs w:val="28"/>
          <w:lang w:val="be-BY"/>
        </w:rPr>
        <w:t>5,8</w:t>
      </w:r>
      <w:r>
        <w:rPr>
          <w:color w:val="000000"/>
          <w:spacing w:val="1"/>
          <w:sz w:val="28"/>
          <w:szCs w:val="28"/>
        </w:rPr>
        <w:t xml:space="preserve">%),  далее по нисходящей  инфекционные и паразитарные болезни – </w:t>
      </w:r>
      <w:r>
        <w:rPr>
          <w:color w:val="000000"/>
          <w:spacing w:val="1"/>
          <w:sz w:val="28"/>
          <w:szCs w:val="28"/>
          <w:lang w:val="be-BY"/>
        </w:rPr>
        <w:t>3,7</w:t>
      </w:r>
      <w:r>
        <w:rPr>
          <w:color w:val="000000"/>
          <w:spacing w:val="1"/>
          <w:sz w:val="28"/>
          <w:szCs w:val="28"/>
        </w:rPr>
        <w:t xml:space="preserve">% (2015 год – 1,8%), болезни эндокринной системы – </w:t>
      </w:r>
      <w:r>
        <w:rPr>
          <w:color w:val="000000"/>
          <w:spacing w:val="1"/>
          <w:sz w:val="28"/>
          <w:szCs w:val="28"/>
          <w:lang w:val="be-BY"/>
        </w:rPr>
        <w:t>2,6</w:t>
      </w:r>
      <w:r>
        <w:rPr>
          <w:color w:val="000000"/>
          <w:spacing w:val="1"/>
          <w:sz w:val="28"/>
          <w:szCs w:val="28"/>
        </w:rPr>
        <w:t>% (2015 год – 1,6%)</w:t>
      </w:r>
      <w:r>
        <w:rPr>
          <w:color w:val="000000"/>
          <w:spacing w:val="1"/>
          <w:sz w:val="28"/>
          <w:szCs w:val="28"/>
          <w:lang w:val="be-BY"/>
        </w:rPr>
        <w:t>,</w:t>
      </w:r>
      <w:r>
        <w:rPr>
          <w:color w:val="000000"/>
          <w:spacing w:val="1"/>
          <w:sz w:val="28"/>
          <w:szCs w:val="28"/>
        </w:rPr>
        <w:t xml:space="preserve"> психические  – </w:t>
      </w:r>
      <w:r>
        <w:rPr>
          <w:color w:val="000000"/>
          <w:spacing w:val="1"/>
          <w:sz w:val="28"/>
          <w:szCs w:val="28"/>
          <w:lang w:val="be-BY"/>
        </w:rPr>
        <w:t>2,6</w:t>
      </w:r>
      <w:r>
        <w:rPr>
          <w:color w:val="000000"/>
          <w:spacing w:val="1"/>
          <w:sz w:val="28"/>
          <w:szCs w:val="28"/>
        </w:rPr>
        <w:t>% (2015 год – 1,2%)</w:t>
      </w:r>
      <w:r>
        <w:rPr>
          <w:color w:val="000000"/>
          <w:spacing w:val="1"/>
          <w:sz w:val="28"/>
          <w:szCs w:val="28"/>
          <w:lang w:val="be-BY"/>
        </w:rPr>
        <w:t>.</w:t>
      </w:r>
    </w:p>
    <w:p w14:paraId="6D46B67F">
      <w:pPr>
        <w:jc w:val="both"/>
        <w:rPr>
          <w:i/>
          <w:iCs/>
          <w:sz w:val="28"/>
          <w:szCs w:val="28"/>
        </w:rPr>
      </w:pPr>
    </w:p>
    <w:p w14:paraId="11D96CA6">
      <w:pPr>
        <w:jc w:val="both"/>
        <w:rPr>
          <w:i/>
          <w:iCs/>
          <w:sz w:val="28"/>
          <w:szCs w:val="28"/>
        </w:rPr>
      </w:pPr>
    </w:p>
    <w:p w14:paraId="78F2264A">
      <w:pPr>
        <w:jc w:val="both"/>
        <w:rPr>
          <w:i/>
          <w:iCs/>
          <w:sz w:val="28"/>
          <w:szCs w:val="28"/>
        </w:rPr>
      </w:pPr>
    </w:p>
    <w:p w14:paraId="676F3BEA">
      <w:pPr>
        <w:jc w:val="both"/>
        <w:rPr>
          <w:color w:val="000000"/>
          <w:spacing w:val="1"/>
          <w:sz w:val="28"/>
          <w:szCs w:val="28"/>
        </w:rPr>
      </w:pPr>
      <w:r>
        <w:rPr>
          <w:i/>
          <w:iCs/>
          <w:sz w:val="28"/>
          <w:szCs w:val="28"/>
        </w:rPr>
        <w:t xml:space="preserve">Рисунок 7      </w:t>
      </w:r>
      <w:r>
        <w:rPr>
          <w:sz w:val="28"/>
          <w:szCs w:val="28"/>
        </w:rPr>
        <w:t>Темпы</w:t>
      </w:r>
      <w:r>
        <w:rPr>
          <w:color w:val="000000"/>
          <w:spacing w:val="1"/>
          <w:sz w:val="28"/>
          <w:szCs w:val="28"/>
        </w:rPr>
        <w:t xml:space="preserve"> среднегодового прироста по классам заболеваний за период 201</w:t>
      </w:r>
      <w:r>
        <w:rPr>
          <w:color w:val="000000"/>
          <w:spacing w:val="1"/>
          <w:sz w:val="28"/>
          <w:szCs w:val="28"/>
          <w:lang w:val="be-BY"/>
        </w:rPr>
        <w:t>4</w:t>
      </w:r>
      <w:r>
        <w:rPr>
          <w:color w:val="000000"/>
          <w:spacing w:val="1"/>
          <w:sz w:val="28"/>
          <w:szCs w:val="28"/>
        </w:rPr>
        <w:t>-202</w:t>
      </w:r>
      <w:r>
        <w:rPr>
          <w:color w:val="000000"/>
          <w:spacing w:val="1"/>
          <w:sz w:val="28"/>
          <w:szCs w:val="28"/>
          <w:lang w:val="be-BY"/>
        </w:rPr>
        <w:t>3</w:t>
      </w:r>
      <w:r>
        <w:rPr>
          <w:color w:val="000000"/>
          <w:spacing w:val="1"/>
          <w:sz w:val="28"/>
          <w:szCs w:val="28"/>
        </w:rPr>
        <w:t xml:space="preserve"> годы</w:t>
      </w:r>
    </w:p>
    <w:p w14:paraId="315A70C7">
      <w:pPr>
        <w:jc w:val="both"/>
        <w:rPr>
          <w:bCs/>
          <w:color w:val="000000"/>
          <w:sz w:val="28"/>
          <w:szCs w:val="28"/>
          <w:lang w:val="ru" w:eastAsia="zh-CN" w:bidi="ar"/>
        </w:rPr>
      </w:pPr>
    </w:p>
    <w:tbl>
      <w:tblPr>
        <w:tblStyle w:val="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  <w:gridCol w:w="6942"/>
      </w:tblGrid>
      <w:tr w14:paraId="1E8E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A543ED">
            <w:pPr>
              <w:jc w:val="both"/>
              <w:rPr>
                <w:bCs/>
                <w:color w:val="000000"/>
                <w:sz w:val="28"/>
                <w:szCs w:val="28"/>
                <w:lang w:val="ru" w:eastAsia="zh-CN" w:bidi="ar"/>
              </w:rPr>
            </w:pPr>
            <w:r>
              <w:drawing>
                <wp:inline distT="0" distB="0" distL="114300" distR="114300">
                  <wp:extent cx="4638675" cy="2508885"/>
                  <wp:effectExtent l="6350" t="6350" r="18415" b="14605"/>
                  <wp:docPr id="2" name="Диаграм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02BDFCB">
            <w:pPr>
              <w:ind w:firstLine="70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Тенденция многолетней динамики (2015-2024 годы) по классам заболеваний (рис.3): </w:t>
            </w:r>
          </w:p>
          <w:p w14:paraId="0E3562F7">
            <w:pPr>
              <w:ind w:firstLine="709"/>
              <w:jc w:val="both"/>
              <w:rPr>
                <w:bCs/>
                <w:color w:val="000000"/>
                <w:spacing w:val="4"/>
                <w:sz w:val="28"/>
                <w:szCs w:val="28"/>
              </w:rPr>
            </w:pPr>
            <w:r>
              <w:rPr>
                <w:bCs/>
                <w:color w:val="000000"/>
                <w:spacing w:val="4"/>
                <w:sz w:val="28"/>
                <w:szCs w:val="28"/>
              </w:rPr>
              <w:t>положительные темпы среднегодового прироста фиксируются по 8 нозологическим группам, отрицательные – по 8, темпы прироста, не превышающие ±1% – по 2.</w:t>
            </w:r>
          </w:p>
          <w:p w14:paraId="312246A4">
            <w:pPr>
              <w:ind w:firstLine="709"/>
              <w:jc w:val="both"/>
              <w:rPr>
                <w:bCs/>
                <w:color w:val="000000"/>
                <w:spacing w:val="4"/>
                <w:sz w:val="28"/>
                <w:szCs w:val="28"/>
              </w:rPr>
            </w:pPr>
            <w:r>
              <w:rPr>
                <w:bCs/>
                <w:color w:val="000000"/>
                <w:spacing w:val="4"/>
                <w:sz w:val="28"/>
                <w:szCs w:val="28"/>
              </w:rPr>
              <w:t>Достоверные тенденции многолетней динамики:</w:t>
            </w:r>
          </w:p>
          <w:p w14:paraId="0AFCE22A">
            <w:pPr>
              <w:ind w:firstLine="709"/>
              <w:jc w:val="both"/>
              <w:rPr>
                <w:bCs/>
                <w:color w:val="000000"/>
                <w:spacing w:val="4"/>
                <w:sz w:val="28"/>
                <w:szCs w:val="28"/>
              </w:rPr>
            </w:pPr>
            <w:r>
              <w:rPr>
                <w:bCs/>
                <w:color w:val="000000"/>
                <w:spacing w:val="4"/>
                <w:sz w:val="28"/>
                <w:szCs w:val="28"/>
              </w:rPr>
              <w:t xml:space="preserve">к умеренному росту – </w:t>
            </w:r>
            <w:r>
              <w:rPr>
                <w:color w:val="000000"/>
                <w:spacing w:val="1"/>
                <w:sz w:val="28"/>
                <w:szCs w:val="28"/>
              </w:rPr>
              <w:t>болезни системы кровообращения, врождённые аномалии, травмы и отравления;</w:t>
            </w:r>
          </w:p>
          <w:p w14:paraId="34F10D0C">
            <w:pPr>
              <w:ind w:firstLine="709"/>
              <w:jc w:val="both"/>
              <w:rPr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bCs/>
                <w:color w:val="000000"/>
                <w:spacing w:val="4"/>
                <w:sz w:val="28"/>
                <w:szCs w:val="28"/>
              </w:rPr>
              <w:t>по остальным нозологиям многолетняя динамика характеризуется неустойчивостью.</w:t>
            </w:r>
          </w:p>
        </w:tc>
      </w:tr>
    </w:tbl>
    <w:p w14:paraId="7C4330A4">
      <w:pPr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Заболеваемость детского населения Сенненского района</w:t>
      </w:r>
    </w:p>
    <w:p w14:paraId="38ADF399">
      <w:pPr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с впервые установленным диагнозом</w:t>
      </w:r>
    </w:p>
    <w:p w14:paraId="0466FD57">
      <w:pPr>
        <w:shd w:val="clear" w:color="auto" w:fill="FFFFFF"/>
        <w:jc w:val="both"/>
        <w:outlineLvl w:val="0"/>
        <w:rPr>
          <w:b/>
          <w:bCs/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Таблица 5</w:t>
      </w:r>
    </w:p>
    <w:tbl>
      <w:tblPr>
        <w:tblStyle w:val="11"/>
        <w:tblW w:w="12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022"/>
        <w:gridCol w:w="1134"/>
        <w:gridCol w:w="2677"/>
        <w:gridCol w:w="2761"/>
        <w:gridCol w:w="2075"/>
      </w:tblGrid>
      <w:tr w14:paraId="3285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3084" w:type="dxa"/>
          </w:tcPr>
          <w:p w14:paraId="7E11B46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Первичная</w:t>
            </w:r>
            <w:r>
              <w:rPr>
                <w:color w:val="000000"/>
              </w:rPr>
              <w:t xml:space="preserve"> заболеваемость детского населения, ‰</w:t>
            </w:r>
          </w:p>
        </w:tc>
        <w:tc>
          <w:tcPr>
            <w:tcW w:w="1022" w:type="dxa"/>
            <w:vAlign w:val="center"/>
          </w:tcPr>
          <w:p w14:paraId="08424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noWrap/>
            <w:vAlign w:val="center"/>
          </w:tcPr>
          <w:p w14:paraId="7281758D">
            <w:pPr>
              <w:jc w:val="center"/>
            </w:pPr>
            <w:r>
              <w:t>2023</w:t>
            </w:r>
          </w:p>
        </w:tc>
        <w:tc>
          <w:tcPr>
            <w:tcW w:w="2677" w:type="dxa"/>
            <w:noWrap/>
            <w:vAlign w:val="center"/>
          </w:tcPr>
          <w:p w14:paraId="6B87989B">
            <w:pPr>
              <w:jc w:val="center"/>
            </w:pPr>
            <w:r>
              <w:t>Среднегодовое значение 2015-2024 годы, ‰</w:t>
            </w:r>
          </w:p>
        </w:tc>
        <w:tc>
          <w:tcPr>
            <w:tcW w:w="2761" w:type="dxa"/>
            <w:noWrap/>
            <w:vAlign w:val="center"/>
          </w:tcPr>
          <w:p w14:paraId="4BF67236">
            <w:pPr>
              <w:jc w:val="center"/>
            </w:pPr>
            <w:r>
              <w:t>Темп среднего прироста за период 2015-2024 годы, %</w:t>
            </w:r>
          </w:p>
        </w:tc>
        <w:tc>
          <w:tcPr>
            <w:tcW w:w="2075" w:type="dxa"/>
            <w:noWrap/>
            <w:vAlign w:val="center"/>
          </w:tcPr>
          <w:p w14:paraId="48885DDB">
            <w:pPr>
              <w:jc w:val="center"/>
            </w:pPr>
            <w:r>
              <w:t>Темп прироста 2024/2023, %</w:t>
            </w:r>
          </w:p>
        </w:tc>
      </w:tr>
      <w:tr w14:paraId="1B40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3084" w:type="dxa"/>
          </w:tcPr>
          <w:p w14:paraId="4281F93D">
            <w:pPr>
              <w:jc w:val="center"/>
            </w:pPr>
            <w:r>
              <w:t>Сенненский район</w:t>
            </w:r>
          </w:p>
        </w:tc>
        <w:tc>
          <w:tcPr>
            <w:tcW w:w="1022" w:type="dxa"/>
            <w:noWrap/>
            <w:vAlign w:val="center"/>
          </w:tcPr>
          <w:p w14:paraId="0F437361">
            <w:pPr>
              <w:jc w:val="center"/>
            </w:pPr>
            <w:r>
              <w:t>683,1</w:t>
            </w:r>
          </w:p>
        </w:tc>
        <w:tc>
          <w:tcPr>
            <w:tcW w:w="1134" w:type="dxa"/>
            <w:noWrap/>
            <w:vAlign w:val="center"/>
          </w:tcPr>
          <w:p w14:paraId="29ADF807">
            <w:pPr>
              <w:jc w:val="center"/>
            </w:pPr>
            <w:r>
              <w:t>721,0</w:t>
            </w:r>
          </w:p>
        </w:tc>
        <w:tc>
          <w:tcPr>
            <w:tcW w:w="2677" w:type="dxa"/>
            <w:noWrap/>
            <w:vAlign w:val="center"/>
          </w:tcPr>
          <w:p w14:paraId="1210E955">
            <w:pPr>
              <w:jc w:val="center"/>
            </w:pPr>
            <w:r>
              <w:t>657,2</w:t>
            </w:r>
          </w:p>
        </w:tc>
        <w:tc>
          <w:tcPr>
            <w:tcW w:w="2761" w:type="dxa"/>
            <w:noWrap/>
            <w:vAlign w:val="center"/>
          </w:tcPr>
          <w:p w14:paraId="2DD40B9E">
            <w:pPr>
              <w:jc w:val="center"/>
            </w:pPr>
            <w:r>
              <w:t>-4,8*</w:t>
            </w:r>
          </w:p>
        </w:tc>
        <w:tc>
          <w:tcPr>
            <w:tcW w:w="2075" w:type="dxa"/>
            <w:noWrap/>
            <w:vAlign w:val="center"/>
          </w:tcPr>
          <w:p w14:paraId="3ACE668B">
            <w:pPr>
              <w:jc w:val="center"/>
            </w:pPr>
            <w:r>
              <w:t>+5,5</w:t>
            </w:r>
          </w:p>
        </w:tc>
      </w:tr>
      <w:tr w14:paraId="77E5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3084" w:type="dxa"/>
          </w:tcPr>
          <w:p w14:paraId="1D410405">
            <w:pPr>
              <w:jc w:val="center"/>
            </w:pPr>
            <w:r>
              <w:t>Витебская область</w:t>
            </w:r>
          </w:p>
        </w:tc>
        <w:tc>
          <w:tcPr>
            <w:tcW w:w="1022" w:type="dxa"/>
            <w:noWrap/>
            <w:vAlign w:val="center"/>
          </w:tcPr>
          <w:p w14:paraId="6243FD05">
            <w:pPr>
              <w:jc w:val="center"/>
            </w:pPr>
            <w:r>
              <w:t>1662,8</w:t>
            </w:r>
          </w:p>
        </w:tc>
        <w:tc>
          <w:tcPr>
            <w:tcW w:w="1134" w:type="dxa"/>
            <w:noWrap/>
            <w:vAlign w:val="center"/>
          </w:tcPr>
          <w:p w14:paraId="654E9469">
            <w:pPr>
              <w:jc w:val="center"/>
            </w:pPr>
            <w:r>
              <w:t>1627,0</w:t>
            </w:r>
          </w:p>
        </w:tc>
        <w:tc>
          <w:tcPr>
            <w:tcW w:w="2677" w:type="dxa"/>
            <w:noWrap/>
            <w:vAlign w:val="center"/>
          </w:tcPr>
          <w:p w14:paraId="12A07A0E">
            <w:pPr>
              <w:jc w:val="center"/>
            </w:pPr>
            <w:r>
              <w:t>1536,9</w:t>
            </w:r>
          </w:p>
        </w:tc>
        <w:tc>
          <w:tcPr>
            <w:tcW w:w="2761" w:type="dxa"/>
            <w:noWrap/>
            <w:vAlign w:val="center"/>
          </w:tcPr>
          <w:p w14:paraId="317732DE">
            <w:pPr>
              <w:jc w:val="center"/>
            </w:pPr>
            <w:r>
              <w:t>+1,4</w:t>
            </w:r>
          </w:p>
        </w:tc>
        <w:tc>
          <w:tcPr>
            <w:tcW w:w="2075" w:type="dxa"/>
            <w:noWrap/>
            <w:vAlign w:val="center"/>
          </w:tcPr>
          <w:p w14:paraId="44E748F0">
            <w:pPr>
              <w:jc w:val="center"/>
            </w:pPr>
            <w:r>
              <w:t>-2,2</w:t>
            </w:r>
          </w:p>
        </w:tc>
      </w:tr>
    </w:tbl>
    <w:p w14:paraId="4BDA3B5D">
      <w:pPr>
        <w:tabs>
          <w:tab w:val="left" w:pos="142"/>
          <w:tab w:val="left" w:pos="284"/>
        </w:tabs>
        <w:ind w:firstLine="709"/>
        <w:jc w:val="both"/>
        <w:rPr>
          <w:bCs/>
          <w:iCs/>
        </w:rPr>
      </w:pPr>
      <w:r>
        <w:rPr>
          <w:bCs/>
          <w:iCs/>
        </w:rPr>
        <w:t>*многолетняя динамика неустойчива</w:t>
      </w:r>
    </w:p>
    <w:p w14:paraId="0E242F56">
      <w:pPr>
        <w:tabs>
          <w:tab w:val="left" w:pos="142"/>
          <w:tab w:val="left" w:pos="284"/>
        </w:tabs>
        <w:ind w:firstLine="709"/>
        <w:jc w:val="both"/>
        <w:rPr>
          <w:bCs/>
          <w:iCs/>
          <w:sz w:val="28"/>
          <w:szCs w:val="28"/>
        </w:rPr>
      </w:pPr>
    </w:p>
    <w:p w14:paraId="1D38B3D6">
      <w:pPr>
        <w:tabs>
          <w:tab w:val="left" w:pos="142"/>
          <w:tab w:val="left" w:pos="284"/>
        </w:tabs>
        <w:jc w:val="both"/>
        <w:rPr>
          <w:color w:val="000000"/>
          <w:spacing w:val="1"/>
          <w:sz w:val="28"/>
          <w:szCs w:val="28"/>
        </w:rPr>
      </w:pPr>
      <w:r>
        <w:rPr>
          <w:rFonts w:hint="default"/>
          <w:bCs/>
          <w:iCs/>
          <w:sz w:val="28"/>
          <w:szCs w:val="28"/>
          <w:lang w:val="ru-RU"/>
        </w:rPr>
        <w:tab/>
      </w:r>
      <w:r>
        <w:rPr>
          <w:bCs/>
          <w:iCs/>
          <w:sz w:val="28"/>
          <w:szCs w:val="28"/>
        </w:rPr>
        <w:t xml:space="preserve">Среднегодовой показатель за 10-летний период первичной заболеваемости детского населения Сенненского района ниже областного уровня в 2,3 раза. Многолетняя динамика за период 2015-2024 годы характеризуется не устойчивой динамикой с отрицательным </w:t>
      </w:r>
      <w:r>
        <w:rPr>
          <w:color w:val="000000"/>
          <w:spacing w:val="1"/>
          <w:sz w:val="28"/>
          <w:szCs w:val="28"/>
        </w:rPr>
        <w:t>темпом среднегодового прироста (-4,8%).</w:t>
      </w:r>
    </w:p>
    <w:p w14:paraId="76742EEC">
      <w:pPr>
        <w:rPr>
          <w:i/>
          <w:iCs/>
          <w:sz w:val="28"/>
          <w:szCs w:val="28"/>
        </w:rPr>
      </w:pPr>
    </w:p>
    <w:p w14:paraId="7C087D94">
      <w:pPr>
        <w:rPr>
          <w:color w:val="000000"/>
          <w:spacing w:val="1"/>
          <w:sz w:val="28"/>
          <w:szCs w:val="28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381000</wp:posOffset>
            </wp:positionV>
            <wp:extent cx="5166360" cy="2905760"/>
            <wp:effectExtent l="4445" t="4445" r="10795" b="15875"/>
            <wp:wrapSquare wrapText="bothSides"/>
            <wp:docPr id="13665993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i/>
          <w:iCs/>
          <w:sz w:val="28"/>
          <w:szCs w:val="28"/>
        </w:rPr>
        <w:t>Рисунок 8</w:t>
      </w:r>
      <w:r>
        <w:rPr>
          <w:sz w:val="28"/>
          <w:szCs w:val="28"/>
        </w:rPr>
        <w:t xml:space="preserve">  </w:t>
      </w:r>
      <w:r>
        <w:t xml:space="preserve">     </w:t>
      </w:r>
      <w:r>
        <w:rPr>
          <w:color w:val="000000"/>
          <w:spacing w:val="1"/>
          <w:sz w:val="28"/>
          <w:szCs w:val="28"/>
        </w:rPr>
        <w:t>Структура детской заболеваемости (0-17 лет) в 2024 году</w:t>
      </w:r>
    </w:p>
    <w:p w14:paraId="6CC69791">
      <w:pPr>
        <w:tabs>
          <w:tab w:val="left" w:pos="142"/>
          <w:tab w:val="left" w:pos="284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</w:t>
      </w:r>
    </w:p>
    <w:p w14:paraId="19B178CF">
      <w:pPr>
        <w:tabs>
          <w:tab w:val="left" w:pos="142"/>
          <w:tab w:val="left" w:pos="284"/>
        </w:tabs>
        <w:jc w:val="both"/>
        <w:rPr>
          <w:bCs/>
          <w:iCs/>
          <w:sz w:val="28"/>
          <w:szCs w:val="28"/>
        </w:rPr>
      </w:pPr>
      <w:r>
        <w:rPr>
          <w:rFonts w:hint="default"/>
          <w:color w:val="000000"/>
          <w:spacing w:val="1"/>
          <w:sz w:val="28"/>
          <w:szCs w:val="28"/>
          <w:lang w:val="ru-RU"/>
        </w:rPr>
        <w:tab/>
        <w:t/>
      </w:r>
      <w:r>
        <w:rPr>
          <w:rFonts w:hint="default"/>
          <w:color w:val="000000"/>
          <w:spacing w:val="1"/>
          <w:sz w:val="28"/>
          <w:szCs w:val="28"/>
          <w:lang w:val="ru-RU"/>
        </w:rPr>
        <w:tab/>
      </w:r>
      <w:r>
        <w:rPr>
          <w:color w:val="000000"/>
          <w:spacing w:val="1"/>
          <w:sz w:val="28"/>
          <w:szCs w:val="28"/>
        </w:rPr>
        <w:t xml:space="preserve">В 2024 году в структуре заболеваемости  </w:t>
      </w:r>
      <w:r>
        <w:rPr>
          <w:i/>
          <w:iCs/>
          <w:color w:val="000000"/>
          <w:spacing w:val="1"/>
          <w:sz w:val="28"/>
          <w:szCs w:val="28"/>
        </w:rPr>
        <w:t>лидируют болезни органов дыхания</w:t>
      </w:r>
      <w:r>
        <w:rPr>
          <w:color w:val="000000"/>
          <w:spacing w:val="1"/>
          <w:sz w:val="28"/>
          <w:szCs w:val="28"/>
        </w:rPr>
        <w:t xml:space="preserve"> – </w:t>
      </w:r>
      <w:r>
        <w:rPr>
          <w:color w:val="000000"/>
          <w:spacing w:val="1"/>
          <w:sz w:val="28"/>
          <w:szCs w:val="28"/>
          <w:lang w:val="be-BY"/>
        </w:rPr>
        <w:t>86,9</w:t>
      </w:r>
      <w:r>
        <w:rPr>
          <w:color w:val="000000"/>
          <w:spacing w:val="1"/>
          <w:sz w:val="28"/>
          <w:szCs w:val="28"/>
        </w:rPr>
        <w:t xml:space="preserve">% (для сравнения 2015 год – </w:t>
      </w:r>
      <w:r>
        <w:rPr>
          <w:color w:val="000000"/>
          <w:spacing w:val="1"/>
          <w:sz w:val="28"/>
          <w:szCs w:val="28"/>
          <w:lang w:val="be-BY"/>
        </w:rPr>
        <w:t>93,5</w:t>
      </w:r>
      <w:r>
        <w:rPr>
          <w:i/>
          <w:iCs/>
          <w:color w:val="000000"/>
          <w:spacing w:val="1"/>
          <w:sz w:val="28"/>
          <w:szCs w:val="28"/>
        </w:rPr>
        <w:t>%), на втором месте - травмы и отравления</w:t>
      </w:r>
      <w:r>
        <w:rPr>
          <w:color w:val="000000"/>
          <w:spacing w:val="1"/>
          <w:sz w:val="28"/>
          <w:szCs w:val="28"/>
        </w:rPr>
        <w:t xml:space="preserve"> – 8,2% (201</w:t>
      </w:r>
      <w:r>
        <w:rPr>
          <w:color w:val="000000"/>
          <w:spacing w:val="1"/>
          <w:sz w:val="28"/>
          <w:szCs w:val="28"/>
          <w:lang w:val="be-BY"/>
        </w:rPr>
        <w:t xml:space="preserve">5 </w:t>
      </w:r>
      <w:r>
        <w:rPr>
          <w:color w:val="000000"/>
          <w:spacing w:val="1"/>
          <w:sz w:val="28"/>
          <w:szCs w:val="28"/>
        </w:rPr>
        <w:t xml:space="preserve">год – </w:t>
      </w:r>
      <w:r>
        <w:rPr>
          <w:color w:val="000000"/>
          <w:spacing w:val="1"/>
          <w:sz w:val="28"/>
          <w:szCs w:val="28"/>
          <w:lang w:val="be-BY"/>
        </w:rPr>
        <w:t>2,8</w:t>
      </w:r>
      <w:r>
        <w:rPr>
          <w:color w:val="000000"/>
          <w:spacing w:val="1"/>
          <w:sz w:val="28"/>
          <w:szCs w:val="28"/>
        </w:rPr>
        <w:t xml:space="preserve">%), </w:t>
      </w:r>
      <w:r>
        <w:rPr>
          <w:i/>
          <w:iCs/>
          <w:color w:val="000000"/>
          <w:spacing w:val="1"/>
          <w:sz w:val="28"/>
          <w:szCs w:val="28"/>
        </w:rPr>
        <w:t>на третьем месте</w:t>
      </w:r>
      <w:r>
        <w:rPr>
          <w:color w:val="000000"/>
          <w:spacing w:val="1"/>
          <w:sz w:val="28"/>
          <w:szCs w:val="28"/>
        </w:rPr>
        <w:t xml:space="preserve"> - </w:t>
      </w:r>
      <w:r>
        <w:rPr>
          <w:i/>
          <w:iCs/>
          <w:color w:val="000000"/>
          <w:spacing w:val="1"/>
          <w:sz w:val="28"/>
          <w:szCs w:val="28"/>
        </w:rPr>
        <w:t>инфекционные и паразитарные болезни</w:t>
      </w:r>
      <w:r>
        <w:rPr>
          <w:color w:val="000000"/>
          <w:spacing w:val="1"/>
          <w:sz w:val="28"/>
          <w:szCs w:val="28"/>
        </w:rPr>
        <w:t xml:space="preserve"> - 0,8% (201</w:t>
      </w:r>
      <w:r>
        <w:rPr>
          <w:color w:val="000000"/>
          <w:spacing w:val="1"/>
          <w:sz w:val="28"/>
          <w:szCs w:val="28"/>
          <w:lang w:val="be-BY"/>
        </w:rPr>
        <w:t xml:space="preserve">5 </w:t>
      </w:r>
      <w:r>
        <w:rPr>
          <w:color w:val="000000"/>
          <w:spacing w:val="1"/>
          <w:sz w:val="28"/>
          <w:szCs w:val="28"/>
        </w:rPr>
        <w:t xml:space="preserve">год – </w:t>
      </w:r>
      <w:r>
        <w:rPr>
          <w:color w:val="000000"/>
          <w:spacing w:val="1"/>
          <w:sz w:val="28"/>
          <w:szCs w:val="28"/>
          <w:lang w:val="be-BY"/>
        </w:rPr>
        <w:t>0,3</w:t>
      </w:r>
      <w:r>
        <w:rPr>
          <w:color w:val="000000"/>
          <w:spacing w:val="1"/>
          <w:sz w:val="28"/>
          <w:szCs w:val="28"/>
        </w:rPr>
        <w:t>%), далее по нисходящей врождённые аномалии - 0,8% (2015 год – 0,</w:t>
      </w:r>
      <w:r>
        <w:rPr>
          <w:color w:val="000000"/>
          <w:spacing w:val="1"/>
          <w:sz w:val="28"/>
          <w:szCs w:val="28"/>
          <w:lang w:val="be-BY"/>
        </w:rPr>
        <w:t>2</w:t>
      </w:r>
      <w:r>
        <w:rPr>
          <w:color w:val="000000"/>
          <w:spacing w:val="1"/>
          <w:sz w:val="28"/>
          <w:szCs w:val="28"/>
        </w:rPr>
        <w:t xml:space="preserve">%), болезни эндокринной системы 0,5% (2015 год – 0,7%), болезни нервной системы - 0,4% (2015 год – 0,5%).                    </w:t>
      </w:r>
    </w:p>
    <w:p w14:paraId="48745CAA">
      <w:pPr>
        <w:jc w:val="both"/>
        <w:rPr>
          <w:i/>
          <w:iCs/>
          <w:sz w:val="28"/>
          <w:szCs w:val="28"/>
        </w:rPr>
      </w:pPr>
    </w:p>
    <w:p w14:paraId="3313B9D4">
      <w:pPr>
        <w:rPr>
          <w:i/>
          <w:iCs/>
          <w:sz w:val="28"/>
          <w:szCs w:val="28"/>
        </w:rPr>
      </w:pPr>
    </w:p>
    <w:p w14:paraId="16CCCC37">
      <w:pPr>
        <w:rPr>
          <w:i/>
          <w:iCs/>
          <w:sz w:val="28"/>
          <w:szCs w:val="28"/>
        </w:rPr>
      </w:pPr>
    </w:p>
    <w:p w14:paraId="49C3176C">
      <w:pPr>
        <w:rPr>
          <w:i/>
          <w:iCs/>
          <w:sz w:val="28"/>
          <w:szCs w:val="28"/>
        </w:rPr>
      </w:pPr>
    </w:p>
    <w:p w14:paraId="5C6661F9">
      <w:pPr>
        <w:rPr>
          <w:i/>
          <w:iCs/>
          <w:sz w:val="28"/>
          <w:szCs w:val="28"/>
        </w:rPr>
      </w:pPr>
    </w:p>
    <w:p w14:paraId="597C8C1D">
      <w:pPr>
        <w:rPr>
          <w:i/>
          <w:iCs/>
          <w:sz w:val="28"/>
          <w:szCs w:val="28"/>
        </w:rPr>
      </w:pPr>
    </w:p>
    <w:p w14:paraId="1E740112">
      <w:pPr>
        <w:rPr>
          <w:i/>
          <w:iCs/>
          <w:sz w:val="28"/>
          <w:szCs w:val="28"/>
        </w:rPr>
      </w:pPr>
    </w:p>
    <w:p w14:paraId="5EC98232">
      <w:r>
        <w:rPr>
          <w:i/>
          <w:iCs/>
          <w:sz w:val="28"/>
          <w:szCs w:val="28"/>
        </w:rPr>
        <w:t>Рисунок 9</w:t>
      </w:r>
      <w:r>
        <w:t xml:space="preserve">   </w:t>
      </w:r>
      <w:r>
        <w:rPr>
          <w:color w:val="000000"/>
          <w:spacing w:val="1"/>
          <w:sz w:val="28"/>
          <w:szCs w:val="28"/>
        </w:rPr>
        <w:t>Темпы среднегодового прироста первичной детской заболеваемости за период 201</w:t>
      </w:r>
      <w:r>
        <w:rPr>
          <w:rFonts w:hint="default"/>
          <w:color w:val="000000"/>
          <w:spacing w:val="1"/>
          <w:sz w:val="28"/>
          <w:szCs w:val="28"/>
          <w:lang w:val="ru-RU"/>
        </w:rPr>
        <w:t>5</w:t>
      </w:r>
      <w:r>
        <w:rPr>
          <w:color w:val="000000"/>
          <w:spacing w:val="1"/>
          <w:sz w:val="28"/>
          <w:szCs w:val="28"/>
        </w:rPr>
        <w:t>-202</w:t>
      </w:r>
      <w:r>
        <w:rPr>
          <w:rFonts w:hint="default"/>
          <w:color w:val="000000"/>
          <w:spacing w:val="1"/>
          <w:sz w:val="28"/>
          <w:szCs w:val="28"/>
          <w:lang w:val="ru-RU"/>
        </w:rPr>
        <w:t>4</w:t>
      </w:r>
      <w:r>
        <w:rPr>
          <w:color w:val="000000"/>
          <w:spacing w:val="1"/>
          <w:sz w:val="28"/>
          <w:szCs w:val="28"/>
        </w:rPr>
        <w:t xml:space="preserve"> годы</w:t>
      </w:r>
    </w:p>
    <w:p w14:paraId="739491DA">
      <w:pPr>
        <w:ind w:firstLine="708"/>
        <w:jc w:val="right"/>
        <w:rPr>
          <w:color w:val="000000"/>
          <w:spacing w:val="1"/>
          <w:sz w:val="28"/>
          <w:szCs w:val="28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4524375" cy="2543175"/>
            <wp:effectExtent l="0" t="0" r="9525" b="9525"/>
            <wp:wrapSquare wrapText="bothSides"/>
            <wp:docPr id="74956713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25AC424C">
      <w:pPr>
        <w:ind w:firstLine="708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Тенденция многолетней динамики (2015-2024 годы) по классам заболеваний (рис.5): </w:t>
      </w:r>
    </w:p>
    <w:p w14:paraId="5C7818E0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положительные темпы среднегодового прироста фиксируются по 8 нозологическим группам, отрицательные – по 8, темпы прироста, не превышающие ±1% – по 2.</w:t>
      </w:r>
    </w:p>
    <w:p w14:paraId="065F3D38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Достоверные тенденции многолетней динамики:</w:t>
      </w:r>
    </w:p>
    <w:p w14:paraId="0EBC39C8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к умеренному росту – </w:t>
      </w:r>
      <w:r>
        <w:rPr>
          <w:color w:val="000000"/>
          <w:spacing w:val="1"/>
          <w:sz w:val="28"/>
          <w:szCs w:val="28"/>
        </w:rPr>
        <w:t>болезни системы кровообращения, врождённые аномалии, травмы и отравления;</w:t>
      </w:r>
    </w:p>
    <w:p w14:paraId="6601561E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по остальным нозологиям многолетняя динамика характеризуется неустойчивостью.</w:t>
      </w:r>
    </w:p>
    <w:p w14:paraId="5C519A08">
      <w:pPr>
        <w:jc w:val="both"/>
        <w:rPr>
          <w:color w:val="000000"/>
          <w:spacing w:val="1"/>
          <w:sz w:val="28"/>
          <w:szCs w:val="28"/>
        </w:rPr>
      </w:pPr>
    </w:p>
    <w:p w14:paraId="60A827B3">
      <w:pPr>
        <w:shd w:val="clear" w:color="auto" w:fill="FFFFFF"/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</w:p>
    <w:p w14:paraId="2E07EB8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Рисунок 10    </w:t>
      </w:r>
      <w:r>
        <w:rPr>
          <w:b/>
          <w:bCs/>
          <w:color w:val="000000"/>
          <w:sz w:val="28"/>
          <w:szCs w:val="28"/>
        </w:rPr>
        <w:t>Профилактические медицинские осмотры детей и подростков (форма 1-дети, раздел V-VI)</w:t>
      </w:r>
    </w:p>
    <w:p w14:paraId="00E24F71">
      <w:pPr>
        <w:shd w:val="clear" w:color="auto" w:fill="FFFFFF"/>
        <w:tabs>
          <w:tab w:val="left" w:pos="72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Отдельные нарушения в состоянии здоровья детей, установленные,</w:t>
      </w:r>
    </w:p>
    <w:p w14:paraId="050E4F89">
      <w:pPr>
        <w:shd w:val="clear" w:color="auto" w:fill="FFFFFF"/>
        <w:tabs>
          <w:tab w:val="left" w:pos="72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возрастным группам (показатель на 1000 осмотренных детей)</w:t>
      </w:r>
    </w:p>
    <w:p w14:paraId="110DF811">
      <w:pPr>
        <w:shd w:val="clear" w:color="auto" w:fill="FFFFFF"/>
        <w:tabs>
          <w:tab w:val="left" w:pos="720"/>
        </w:tabs>
        <w:jc w:val="center"/>
        <w:rPr>
          <w:b/>
          <w:bCs/>
          <w:color w:val="000000"/>
          <w:sz w:val="28"/>
          <w:szCs w:val="28"/>
        </w:rPr>
      </w:pPr>
      <w:r>
        <w:drawing>
          <wp:inline distT="0" distB="0" distL="0" distR="0">
            <wp:extent cx="8837930" cy="1771650"/>
            <wp:effectExtent l="0" t="0" r="0" b="0"/>
            <wp:docPr id="4961527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FF253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профосмотров детей (3-17 лет) показывает, что соотношение показателей нарушения здоровья в данной группе поменялось по сравнению с остальными годами: лидируют, дефекты речи (2,0‰), далее по нисходящей - нарушения осанки (1,6‰), понижение остроты зрения (0,4‰), сколиоз (0,4‰), понижение остроты слуха (0,4‰) (рис.6). </w:t>
      </w:r>
    </w:p>
    <w:p w14:paraId="6E6B5D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Многолетняя динамика по результатам профосмотров за 2020-2024 годы: положительный темп среднегодового прироста по показателю остроты слуха, дефекта речи (+13,9%), сколиоза (+25,8%); отрицательный среднегодового прироста по показателю остроты зрения (-21,9%), нарушение осанки (-41,1%).</w:t>
      </w:r>
    </w:p>
    <w:p w14:paraId="27E26B01">
      <w:pPr>
        <w:shd w:val="clear" w:color="auto" w:fill="FFFFFF"/>
        <w:tabs>
          <w:tab w:val="left" w:pos="720"/>
        </w:tabs>
        <w:jc w:val="center"/>
        <w:rPr>
          <w:b/>
          <w:bCs/>
          <w:color w:val="000000"/>
          <w:sz w:val="28"/>
          <w:szCs w:val="28"/>
        </w:rPr>
      </w:pPr>
    </w:p>
    <w:tbl>
      <w:tblPr>
        <w:tblStyle w:val="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6"/>
        <w:gridCol w:w="6936"/>
      </w:tblGrid>
      <w:tr w14:paraId="6185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</w:tcPr>
          <w:p w14:paraId="342FCF5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Рисунок 11</w:t>
            </w:r>
          </w:p>
          <w:p w14:paraId="29313AF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 Динамика распределения (%) детей 0-14 лет по группам здоровья</w:t>
            </w:r>
          </w:p>
        </w:tc>
        <w:tc>
          <w:tcPr>
            <w:tcW w:w="6860" w:type="dxa"/>
          </w:tcPr>
          <w:p w14:paraId="60B07FE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Рисунок 12</w:t>
            </w:r>
          </w:p>
          <w:p w14:paraId="6E26CCA0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Динамика распределения (%) подростков 15-17 лет по группам здоровья</w:t>
            </w:r>
          </w:p>
        </w:tc>
      </w:tr>
      <w:tr w14:paraId="1B09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</w:tcPr>
          <w:p w14:paraId="4A40600E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drawing>
                <wp:inline distT="0" distB="0" distL="0" distR="0">
                  <wp:extent cx="4572000" cy="1733550"/>
                  <wp:effectExtent l="0" t="0" r="0" b="0"/>
                  <wp:docPr id="1016901608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22B1D37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drawing>
                <wp:inline distT="0" distB="0" distL="0" distR="0">
                  <wp:extent cx="4267200" cy="1733550"/>
                  <wp:effectExtent l="0" t="0" r="0" b="0"/>
                  <wp:docPr id="17311280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14:paraId="5FEC073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детей 0-14 лет, относящихся к различным группам здоровья за период 2019-2023 годы характеризуется  тенденцией к выраженному росту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группы (+10,4%) и IV группы (+8,0%); выраженной тенденцией к снижению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 (-10,05%) и умеренному снижению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 (-3,2%).</w:t>
      </w:r>
    </w:p>
    <w:p w14:paraId="7CDCB3A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подростков, относящихся к различным группам здоровья, характеризуется тенденцией к выраженному росту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группы (+21,6%); умеренному росту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 (+1,7%), выраженной тенденцией к снижению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группы (-6,1%).</w:t>
      </w:r>
    </w:p>
    <w:p w14:paraId="39E4C0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</w:t>
      </w:r>
      <w:r>
        <w:rPr>
          <w:bCs/>
          <w:sz w:val="28"/>
          <w:szCs w:val="28"/>
        </w:rPr>
        <w:t>профосмотров детей в возрасте 3-17 лет</w:t>
      </w:r>
      <w:r>
        <w:rPr>
          <w:sz w:val="28"/>
          <w:szCs w:val="28"/>
        </w:rPr>
        <w:t xml:space="preserve"> в разрезе учреждений образования Сенненского района показывает, что соотношение показателей нарушения здоровья в данной группе распределено в следующем порядке: понижение остроты зрения, сколиоз, нарушения осанки. (рис.9).</w:t>
      </w:r>
    </w:p>
    <w:p w14:paraId="17C41AEA">
      <w:pPr>
        <w:ind w:firstLine="708"/>
        <w:jc w:val="both"/>
        <w:rPr>
          <w:sz w:val="28"/>
          <w:szCs w:val="28"/>
        </w:rPr>
      </w:pPr>
    </w:p>
    <w:p w14:paraId="59493236">
      <w:pPr>
        <w:jc w:val="both"/>
      </w:pPr>
    </w:p>
    <w:p w14:paraId="377CFE89">
      <w:pPr>
        <w:jc w:val="both"/>
      </w:pPr>
    </w:p>
    <w:p w14:paraId="509D2C2A">
      <w:pPr>
        <w:jc w:val="both"/>
      </w:pPr>
    </w:p>
    <w:p w14:paraId="6C5E9390">
      <w:pPr>
        <w:jc w:val="both"/>
      </w:pPr>
    </w:p>
    <w:p w14:paraId="68182C1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Рисунок 13</w:t>
      </w:r>
    </w:p>
    <w:p w14:paraId="02604C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отдельных нарушений здоровья детей 6-17 лет за 2024 год (на 1000 детей) в разрезе учреждений образования</w:t>
      </w:r>
    </w:p>
    <w:p w14:paraId="15547D61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drawing>
          <wp:inline distT="0" distB="0" distL="0" distR="0">
            <wp:extent cx="8797290" cy="2424430"/>
            <wp:effectExtent l="0" t="0" r="3810" b="0"/>
            <wp:docPr id="4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Start w:id="1" w:name="_Hlk176531156"/>
    </w:p>
    <w:p w14:paraId="57118BBC">
      <w:pPr>
        <w:ind w:firstLine="709"/>
        <w:jc w:val="center"/>
        <w:rPr>
          <w:b/>
          <w:bCs/>
          <w:sz w:val="28"/>
          <w:szCs w:val="28"/>
          <w:u w:val="single"/>
        </w:rPr>
      </w:pPr>
    </w:p>
    <w:p w14:paraId="2DB5B9E7">
      <w:pPr>
        <w:ind w:left="0" w:leftChars="0" w:firstLine="0" w:firstLineChars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Сравнительный анализ первичной заболеваемости детского населения по основным классам неинфекционной заболеваемости</w:t>
      </w:r>
    </w:p>
    <w:p w14:paraId="0309151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6</w:t>
      </w:r>
    </w:p>
    <w:tbl>
      <w:tblPr>
        <w:tblStyle w:val="11"/>
        <w:tblW w:w="13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4"/>
        <w:gridCol w:w="4294"/>
        <w:gridCol w:w="1422"/>
        <w:gridCol w:w="1750"/>
        <w:gridCol w:w="1987"/>
      </w:tblGrid>
      <w:tr w14:paraId="60BF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334" w:type="dxa"/>
            <w:vMerge w:val="restart"/>
            <w:vAlign w:val="center"/>
          </w:tcPr>
          <w:p w14:paraId="61CC6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Нормированный интенсивный показатель</w:t>
            </w:r>
          </w:p>
          <w:p w14:paraId="79127BC0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Отношение среднегодового показателя заболеваемости детского населения 0-17 лет Сенненского района к среднегодовому областному уровню заболеваемости по отдельным нозологиям</w:t>
            </w:r>
          </w:p>
        </w:tc>
        <w:tc>
          <w:tcPr>
            <w:tcW w:w="4294" w:type="dxa"/>
            <w:noWrap/>
            <w:vAlign w:val="center"/>
          </w:tcPr>
          <w:p w14:paraId="419E5FAF">
            <w:pPr>
              <w:rPr>
                <w:color w:val="000000"/>
              </w:rPr>
            </w:pPr>
            <w:r>
              <w:rPr>
                <w:color w:val="000000"/>
              </w:rPr>
              <w:t>нозологии</w:t>
            </w:r>
          </w:p>
        </w:tc>
        <w:tc>
          <w:tcPr>
            <w:tcW w:w="1422" w:type="dxa"/>
            <w:noWrap/>
            <w:vAlign w:val="bottom"/>
          </w:tcPr>
          <w:p w14:paraId="0EF6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НИП</w:t>
            </w:r>
          </w:p>
        </w:tc>
        <w:tc>
          <w:tcPr>
            <w:tcW w:w="1750" w:type="dxa"/>
          </w:tcPr>
          <w:p w14:paraId="20E5B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Тсрг.прироста 2015-2024 годы, % (район)</w:t>
            </w:r>
          </w:p>
        </w:tc>
        <w:tc>
          <w:tcPr>
            <w:tcW w:w="1987" w:type="dxa"/>
          </w:tcPr>
          <w:p w14:paraId="7E946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Тсрг.прироста 2015-2024 годы, %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(область)</w:t>
            </w:r>
          </w:p>
        </w:tc>
      </w:tr>
      <w:tr w14:paraId="7E84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334" w:type="dxa"/>
            <w:vMerge w:val="continue"/>
            <w:vAlign w:val="center"/>
          </w:tcPr>
          <w:p w14:paraId="02C1B870">
            <w:pPr>
              <w:jc w:val="center"/>
              <w:rPr>
                <w:color w:val="000000"/>
              </w:rPr>
            </w:pPr>
          </w:p>
        </w:tc>
        <w:tc>
          <w:tcPr>
            <w:tcW w:w="4294" w:type="dxa"/>
            <w:noWrap/>
            <w:vAlign w:val="center"/>
          </w:tcPr>
          <w:p w14:paraId="224767A5">
            <w:pPr>
              <w:rPr>
                <w:color w:val="000000"/>
              </w:rPr>
            </w:pPr>
            <w:r>
              <w:rPr>
                <w:color w:val="000000"/>
              </w:rPr>
              <w:t>злокачественные новообразования</w:t>
            </w:r>
          </w:p>
        </w:tc>
        <w:tc>
          <w:tcPr>
            <w:tcW w:w="1422" w:type="dxa"/>
            <w:noWrap/>
            <w:vAlign w:val="bottom"/>
          </w:tcPr>
          <w:p w14:paraId="50679E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750" w:type="dxa"/>
            <w:vAlign w:val="bottom"/>
          </w:tcPr>
          <w:p w14:paraId="4A0F9DF4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+15,9</w:t>
            </w:r>
          </w:p>
        </w:tc>
        <w:tc>
          <w:tcPr>
            <w:tcW w:w="1987" w:type="dxa"/>
            <w:vAlign w:val="bottom"/>
          </w:tcPr>
          <w:p w14:paraId="1FD80859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-4,6</w:t>
            </w:r>
          </w:p>
        </w:tc>
      </w:tr>
      <w:tr w14:paraId="3077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4334" w:type="dxa"/>
            <w:vMerge w:val="continue"/>
          </w:tcPr>
          <w:p w14:paraId="5240AD5E">
            <w:pPr>
              <w:rPr>
                <w:color w:val="000000"/>
              </w:rPr>
            </w:pPr>
          </w:p>
        </w:tc>
        <w:tc>
          <w:tcPr>
            <w:tcW w:w="4294" w:type="dxa"/>
            <w:noWrap/>
            <w:vAlign w:val="center"/>
          </w:tcPr>
          <w:p w14:paraId="2797374C">
            <w:pPr>
              <w:rPr>
                <w:color w:val="000000"/>
              </w:rPr>
            </w:pPr>
            <w:r>
              <w:rPr>
                <w:color w:val="000000"/>
              </w:rPr>
              <w:t>болезни системы кровообращения</w:t>
            </w:r>
          </w:p>
        </w:tc>
        <w:tc>
          <w:tcPr>
            <w:tcW w:w="1422" w:type="dxa"/>
            <w:noWrap/>
            <w:vAlign w:val="bottom"/>
          </w:tcPr>
          <w:p w14:paraId="63BF779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750" w:type="dxa"/>
            <w:shd w:val="clear" w:color="000000" w:fill="FFFFFF"/>
            <w:vAlign w:val="bottom"/>
          </w:tcPr>
          <w:p w14:paraId="1221B8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+27,9</w:t>
            </w:r>
          </w:p>
        </w:tc>
        <w:tc>
          <w:tcPr>
            <w:tcW w:w="1987" w:type="dxa"/>
            <w:shd w:val="clear" w:color="000000" w:fill="FFFFFF"/>
            <w:vAlign w:val="bottom"/>
          </w:tcPr>
          <w:p w14:paraId="0E7CF5D7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-4,8</w:t>
            </w:r>
          </w:p>
        </w:tc>
      </w:tr>
      <w:tr w14:paraId="74FD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334" w:type="dxa"/>
            <w:vMerge w:val="continue"/>
          </w:tcPr>
          <w:p w14:paraId="14F71B51">
            <w:pPr>
              <w:rPr>
                <w:color w:val="000000"/>
              </w:rPr>
            </w:pPr>
          </w:p>
        </w:tc>
        <w:tc>
          <w:tcPr>
            <w:tcW w:w="4294" w:type="dxa"/>
            <w:noWrap/>
            <w:vAlign w:val="center"/>
          </w:tcPr>
          <w:p w14:paraId="7AD6AD73">
            <w:pPr>
              <w:rPr>
                <w:color w:val="000000"/>
              </w:rPr>
            </w:pPr>
            <w:r>
              <w:rPr>
                <w:color w:val="000000"/>
              </w:rPr>
              <w:t>сахарный диабет</w:t>
            </w:r>
          </w:p>
        </w:tc>
        <w:tc>
          <w:tcPr>
            <w:tcW w:w="1422" w:type="dxa"/>
            <w:noWrap/>
            <w:vAlign w:val="bottom"/>
          </w:tcPr>
          <w:p w14:paraId="48FE058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750" w:type="dxa"/>
            <w:vAlign w:val="bottom"/>
          </w:tcPr>
          <w:p w14:paraId="4DEC2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+16,3</w:t>
            </w:r>
          </w:p>
        </w:tc>
        <w:tc>
          <w:tcPr>
            <w:tcW w:w="1987" w:type="dxa"/>
            <w:vAlign w:val="bottom"/>
          </w:tcPr>
          <w:p w14:paraId="4F61F3DC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+4,3</w:t>
            </w:r>
          </w:p>
        </w:tc>
      </w:tr>
      <w:tr w14:paraId="12E5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4334" w:type="dxa"/>
            <w:vMerge w:val="continue"/>
          </w:tcPr>
          <w:p w14:paraId="5FE46F35">
            <w:pPr>
              <w:rPr>
                <w:color w:val="000000"/>
              </w:rPr>
            </w:pPr>
          </w:p>
        </w:tc>
        <w:tc>
          <w:tcPr>
            <w:tcW w:w="4294" w:type="dxa"/>
            <w:noWrap/>
            <w:vAlign w:val="center"/>
          </w:tcPr>
          <w:p w14:paraId="4AF56DB4">
            <w:pPr>
              <w:rPr>
                <w:color w:val="000000"/>
              </w:rPr>
            </w:pPr>
            <w:r>
              <w:rPr>
                <w:color w:val="000000"/>
              </w:rPr>
              <w:t>болезни органов дыхания</w:t>
            </w:r>
          </w:p>
        </w:tc>
        <w:tc>
          <w:tcPr>
            <w:tcW w:w="1422" w:type="dxa"/>
            <w:noWrap/>
            <w:vAlign w:val="bottom"/>
          </w:tcPr>
          <w:p w14:paraId="1DF740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750" w:type="dxa"/>
            <w:shd w:val="clear" w:color="000000" w:fill="FFFFFF"/>
            <w:vAlign w:val="bottom"/>
          </w:tcPr>
          <w:p w14:paraId="0363AE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-6,6</w:t>
            </w:r>
          </w:p>
        </w:tc>
        <w:tc>
          <w:tcPr>
            <w:tcW w:w="1987" w:type="dxa"/>
            <w:shd w:val="clear" w:color="000000" w:fill="FFFFFF"/>
            <w:vAlign w:val="bottom"/>
          </w:tcPr>
          <w:p w14:paraId="117699CF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+1,7</w:t>
            </w:r>
          </w:p>
        </w:tc>
      </w:tr>
      <w:tr w14:paraId="5CE7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334" w:type="dxa"/>
            <w:vMerge w:val="continue"/>
          </w:tcPr>
          <w:p w14:paraId="16E53122">
            <w:pPr>
              <w:rPr>
                <w:color w:val="000000"/>
              </w:rPr>
            </w:pPr>
          </w:p>
        </w:tc>
        <w:tc>
          <w:tcPr>
            <w:tcW w:w="4294" w:type="dxa"/>
            <w:noWrap/>
            <w:vAlign w:val="center"/>
          </w:tcPr>
          <w:p w14:paraId="4F1EA73D">
            <w:pPr>
              <w:rPr>
                <w:color w:val="000000"/>
              </w:rPr>
            </w:pPr>
            <w:r>
              <w:rPr>
                <w:color w:val="000000"/>
              </w:rPr>
              <w:t>травмы, отравления и др. последствия внешних причин</w:t>
            </w:r>
          </w:p>
        </w:tc>
        <w:tc>
          <w:tcPr>
            <w:tcW w:w="1422" w:type="dxa"/>
            <w:vAlign w:val="bottom"/>
          </w:tcPr>
          <w:p w14:paraId="6ED5CC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750" w:type="dxa"/>
            <w:vAlign w:val="bottom"/>
          </w:tcPr>
          <w:p w14:paraId="57C5AFC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+16,5 </w:t>
            </w:r>
          </w:p>
        </w:tc>
        <w:tc>
          <w:tcPr>
            <w:tcW w:w="1987" w:type="dxa"/>
            <w:vAlign w:val="bottom"/>
          </w:tcPr>
          <w:p w14:paraId="2E8A124C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-1,3</w:t>
            </w:r>
          </w:p>
        </w:tc>
      </w:tr>
      <w:tr w14:paraId="2135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334" w:type="dxa"/>
            <w:vMerge w:val="continue"/>
          </w:tcPr>
          <w:p w14:paraId="184C057F">
            <w:pPr>
              <w:rPr>
                <w:color w:val="000000"/>
              </w:rPr>
            </w:pPr>
          </w:p>
        </w:tc>
        <w:tc>
          <w:tcPr>
            <w:tcW w:w="4294" w:type="dxa"/>
            <w:noWrap/>
            <w:vAlign w:val="center"/>
          </w:tcPr>
          <w:p w14:paraId="679E2F89">
            <w:pPr>
              <w:rPr>
                <w:color w:val="000000"/>
              </w:rPr>
            </w:pPr>
            <w:r>
              <w:rPr>
                <w:color w:val="000000"/>
              </w:rPr>
              <w:t>психические расстройства</w:t>
            </w:r>
          </w:p>
        </w:tc>
        <w:tc>
          <w:tcPr>
            <w:tcW w:w="1422" w:type="dxa"/>
            <w:noWrap/>
            <w:vAlign w:val="bottom"/>
          </w:tcPr>
          <w:p w14:paraId="48DDA7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750" w:type="dxa"/>
            <w:vAlign w:val="bottom"/>
          </w:tcPr>
          <w:p w14:paraId="644CA36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-9,8</w:t>
            </w:r>
          </w:p>
        </w:tc>
        <w:tc>
          <w:tcPr>
            <w:tcW w:w="1987" w:type="dxa"/>
            <w:vAlign w:val="bottom"/>
          </w:tcPr>
          <w:p w14:paraId="17A02659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+1,2</w:t>
            </w:r>
          </w:p>
        </w:tc>
      </w:tr>
    </w:tbl>
    <w:p w14:paraId="51D7C013">
      <w:p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rFonts w:hint="default"/>
          <w:color w:val="000000"/>
          <w:spacing w:val="1"/>
          <w:sz w:val="28"/>
          <w:szCs w:val="28"/>
          <w:lang w:val="en-US"/>
        </w:rPr>
        <w:tab/>
      </w:r>
      <w:r>
        <w:rPr>
          <w:color w:val="000000"/>
          <w:spacing w:val="1"/>
          <w:sz w:val="28"/>
          <w:szCs w:val="28"/>
        </w:rPr>
        <w:t xml:space="preserve">Показатель заболеваемости </w:t>
      </w:r>
      <w:r>
        <w:rPr>
          <w:color w:val="000000"/>
          <w:sz w:val="28"/>
          <w:szCs w:val="28"/>
        </w:rPr>
        <w:t xml:space="preserve">детского населения Сенненского района </w:t>
      </w:r>
      <w:r>
        <w:rPr>
          <w:color w:val="000000"/>
          <w:spacing w:val="1"/>
          <w:sz w:val="28"/>
          <w:szCs w:val="28"/>
        </w:rPr>
        <w:t xml:space="preserve">злокачественными новообразованиями превышает среднемноголетний областной уровень, </w:t>
      </w:r>
      <w:r>
        <w:rPr>
          <w:color w:val="000000"/>
          <w:sz w:val="28"/>
          <w:szCs w:val="28"/>
        </w:rPr>
        <w:t xml:space="preserve">по всем остальным нозологиям уровень заболеваемости ниже областного. </w:t>
      </w:r>
    </w:p>
    <w:p w14:paraId="2D7BA0DB">
      <w:pPr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Первичная заболеваемость населения 18 лет и старше Сенненского района</w:t>
      </w:r>
    </w:p>
    <w:p w14:paraId="7AD6CF24">
      <w:pPr>
        <w:rPr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Таблица 8</w:t>
      </w:r>
    </w:p>
    <w:tbl>
      <w:tblPr>
        <w:tblStyle w:val="11"/>
        <w:tblW w:w="13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1399"/>
        <w:gridCol w:w="1186"/>
        <w:gridCol w:w="2198"/>
        <w:gridCol w:w="2529"/>
        <w:gridCol w:w="2185"/>
      </w:tblGrid>
      <w:tr w14:paraId="3D59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786" w:type="dxa"/>
          </w:tcPr>
          <w:p w14:paraId="1DD59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Первичная заболеваемость </w:t>
            </w:r>
            <w:r>
              <w:rPr>
                <w:b/>
                <w:bCs/>
                <w:color w:val="000000"/>
              </w:rPr>
              <w:t>взрослого населения</w:t>
            </w:r>
            <w:r>
              <w:rPr>
                <w:color w:val="000000"/>
              </w:rPr>
              <w:t>, ‰</w:t>
            </w:r>
          </w:p>
        </w:tc>
        <w:tc>
          <w:tcPr>
            <w:tcW w:w="1399" w:type="dxa"/>
            <w:vAlign w:val="center"/>
          </w:tcPr>
          <w:p w14:paraId="257F3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86" w:type="dxa"/>
            <w:noWrap/>
            <w:vAlign w:val="center"/>
          </w:tcPr>
          <w:p w14:paraId="1D408EBC">
            <w:pPr>
              <w:jc w:val="center"/>
            </w:pPr>
            <w:r>
              <w:t>2024</w:t>
            </w:r>
          </w:p>
        </w:tc>
        <w:tc>
          <w:tcPr>
            <w:tcW w:w="2198" w:type="dxa"/>
            <w:noWrap/>
            <w:vAlign w:val="center"/>
          </w:tcPr>
          <w:p w14:paraId="50B0776C">
            <w:pPr>
              <w:jc w:val="center"/>
            </w:pPr>
            <w:r>
              <w:t xml:space="preserve">Среднегодовое значение </w:t>
            </w:r>
          </w:p>
          <w:p w14:paraId="1CE23BC2">
            <w:pPr>
              <w:jc w:val="center"/>
            </w:pPr>
            <w:r>
              <w:t>2015-2024 годы, ‰</w:t>
            </w:r>
          </w:p>
        </w:tc>
        <w:tc>
          <w:tcPr>
            <w:tcW w:w="2529" w:type="dxa"/>
            <w:noWrap/>
            <w:vAlign w:val="center"/>
          </w:tcPr>
          <w:p w14:paraId="2E1B4CEE">
            <w:pPr>
              <w:jc w:val="center"/>
            </w:pPr>
            <w:r>
              <w:t>Темп среднего прироста за период 2015-2024 годы, %</w:t>
            </w:r>
          </w:p>
        </w:tc>
        <w:tc>
          <w:tcPr>
            <w:tcW w:w="2185" w:type="dxa"/>
            <w:noWrap/>
            <w:vAlign w:val="center"/>
          </w:tcPr>
          <w:p w14:paraId="68631CED">
            <w:pPr>
              <w:jc w:val="center"/>
            </w:pPr>
            <w:r>
              <w:t>Темп прироста 2024/2023, %</w:t>
            </w:r>
          </w:p>
        </w:tc>
      </w:tr>
      <w:tr w14:paraId="71F2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786" w:type="dxa"/>
          </w:tcPr>
          <w:p w14:paraId="32942541">
            <w:pPr>
              <w:jc w:val="center"/>
            </w:pPr>
            <w:r>
              <w:t>Сенненский район</w:t>
            </w:r>
          </w:p>
        </w:tc>
        <w:tc>
          <w:tcPr>
            <w:tcW w:w="1399" w:type="dxa"/>
            <w:noWrap/>
            <w:vAlign w:val="center"/>
          </w:tcPr>
          <w:p w14:paraId="7865EBFA">
            <w:pPr>
              <w:jc w:val="center"/>
            </w:pPr>
            <w:r>
              <w:t>366,8</w:t>
            </w:r>
          </w:p>
        </w:tc>
        <w:tc>
          <w:tcPr>
            <w:tcW w:w="1186" w:type="dxa"/>
            <w:noWrap/>
            <w:vAlign w:val="center"/>
          </w:tcPr>
          <w:p w14:paraId="791ACCF4">
            <w:pPr>
              <w:jc w:val="center"/>
            </w:pPr>
            <w:r>
              <w:t>365,5</w:t>
            </w:r>
          </w:p>
        </w:tc>
        <w:tc>
          <w:tcPr>
            <w:tcW w:w="2198" w:type="dxa"/>
            <w:noWrap/>
            <w:vAlign w:val="center"/>
          </w:tcPr>
          <w:p w14:paraId="1435A5A7">
            <w:pPr>
              <w:jc w:val="center"/>
            </w:pPr>
            <w:r>
              <w:t>475,1</w:t>
            </w:r>
          </w:p>
        </w:tc>
        <w:tc>
          <w:tcPr>
            <w:tcW w:w="2529" w:type="dxa"/>
            <w:noWrap/>
            <w:vAlign w:val="center"/>
          </w:tcPr>
          <w:p w14:paraId="6920B8A1">
            <w:pPr>
              <w:jc w:val="center"/>
            </w:pPr>
            <w:r>
              <w:t>-3,1*</w:t>
            </w:r>
          </w:p>
        </w:tc>
        <w:tc>
          <w:tcPr>
            <w:tcW w:w="2185" w:type="dxa"/>
            <w:noWrap/>
            <w:vAlign w:val="center"/>
          </w:tcPr>
          <w:p w14:paraId="2757E4D6">
            <w:pPr>
              <w:jc w:val="center"/>
            </w:pPr>
            <w:r>
              <w:t>+0,4</w:t>
            </w:r>
          </w:p>
        </w:tc>
      </w:tr>
      <w:tr w14:paraId="129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786" w:type="dxa"/>
          </w:tcPr>
          <w:p w14:paraId="06ACDFD3">
            <w:pPr>
              <w:jc w:val="center"/>
            </w:pPr>
            <w:r>
              <w:t>Витебская область</w:t>
            </w:r>
          </w:p>
        </w:tc>
        <w:tc>
          <w:tcPr>
            <w:tcW w:w="1399" w:type="dxa"/>
            <w:noWrap/>
            <w:vAlign w:val="center"/>
          </w:tcPr>
          <w:p w14:paraId="31135953">
            <w:pPr>
              <w:jc w:val="center"/>
            </w:pPr>
            <w:r>
              <w:t>611,0</w:t>
            </w:r>
          </w:p>
        </w:tc>
        <w:tc>
          <w:tcPr>
            <w:tcW w:w="1186" w:type="dxa"/>
            <w:noWrap/>
            <w:vAlign w:val="center"/>
          </w:tcPr>
          <w:p w14:paraId="4E569D6B">
            <w:pPr>
              <w:jc w:val="center"/>
            </w:pPr>
            <w:r>
              <w:t>611,1</w:t>
            </w:r>
          </w:p>
        </w:tc>
        <w:tc>
          <w:tcPr>
            <w:tcW w:w="2198" w:type="dxa"/>
            <w:noWrap/>
            <w:vAlign w:val="center"/>
          </w:tcPr>
          <w:p w14:paraId="6BE1EAA9">
            <w:pPr>
              <w:jc w:val="center"/>
            </w:pPr>
            <w:r>
              <w:t>611,5</w:t>
            </w:r>
          </w:p>
        </w:tc>
        <w:tc>
          <w:tcPr>
            <w:tcW w:w="2529" w:type="dxa"/>
            <w:noWrap/>
            <w:vAlign w:val="center"/>
          </w:tcPr>
          <w:p w14:paraId="54F43899">
            <w:pPr>
              <w:jc w:val="center"/>
            </w:pPr>
            <w:r>
              <w:t>+2,5</w:t>
            </w:r>
          </w:p>
        </w:tc>
        <w:tc>
          <w:tcPr>
            <w:tcW w:w="2185" w:type="dxa"/>
            <w:noWrap/>
            <w:vAlign w:val="center"/>
          </w:tcPr>
          <w:p w14:paraId="382C324E">
            <w:pPr>
              <w:jc w:val="center"/>
            </w:pPr>
            <w:r>
              <w:t>0</w:t>
            </w:r>
          </w:p>
        </w:tc>
      </w:tr>
    </w:tbl>
    <w:p w14:paraId="1E90311F">
      <w:pPr>
        <w:tabs>
          <w:tab w:val="left" w:pos="142"/>
          <w:tab w:val="left" w:pos="284"/>
        </w:tabs>
        <w:ind w:firstLine="709"/>
        <w:jc w:val="both"/>
        <w:rPr>
          <w:bCs/>
          <w:iCs/>
        </w:rPr>
      </w:pPr>
      <w:r>
        <w:rPr>
          <w:bCs/>
          <w:iCs/>
        </w:rPr>
        <w:t>*многолетняя динамика неустойчива</w:t>
      </w:r>
    </w:p>
    <w:p w14:paraId="1CB92BCF">
      <w:pPr>
        <w:tabs>
          <w:tab w:val="left" w:pos="142"/>
          <w:tab w:val="left" w:pos="284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Среднегодовой показатель первичной заболеваемости взрослого населения Сенненского района ниже областного уровня в 1,3 раза. Многолетняя динамика за период 2015-2024 годы характеризуется не устойчивой динамикой с отрицательным </w:t>
      </w:r>
      <w:r>
        <w:rPr>
          <w:color w:val="000000"/>
          <w:spacing w:val="1"/>
          <w:sz w:val="28"/>
          <w:szCs w:val="28"/>
        </w:rPr>
        <w:t>темпом среднегодового прироста (-3,1%).</w:t>
      </w:r>
      <w:r>
        <w:rPr>
          <w:bCs/>
          <w:iCs/>
          <w:color w:val="FF000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(табл.7).</w:t>
      </w:r>
    </w:p>
    <w:p w14:paraId="06D26ADC">
      <w:pPr>
        <w:jc w:val="both"/>
        <w:rPr>
          <w:i/>
          <w:iCs/>
          <w:sz w:val="28"/>
          <w:szCs w:val="28"/>
        </w:rPr>
      </w:pPr>
    </w:p>
    <w:p w14:paraId="515A3869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Рисунок 14 </w:t>
      </w:r>
      <w:r>
        <w:rPr>
          <w:color w:val="000000"/>
          <w:spacing w:val="1"/>
          <w:sz w:val="28"/>
          <w:szCs w:val="28"/>
        </w:rPr>
        <w:t xml:space="preserve">  Структура </w:t>
      </w:r>
      <w:r>
        <w:rPr>
          <w:sz w:val="28"/>
          <w:szCs w:val="28"/>
        </w:rPr>
        <w:t>первичной заболеваемости населения</w:t>
      </w:r>
      <w:r>
        <w:rPr>
          <w:color w:val="000000"/>
          <w:spacing w:val="1"/>
          <w:sz w:val="28"/>
          <w:szCs w:val="28"/>
        </w:rPr>
        <w:t xml:space="preserve"> 18 лет и старше</w:t>
      </w:r>
    </w:p>
    <w:p w14:paraId="0D3300B8">
      <w:pPr>
        <w:jc w:val="both"/>
        <w:rPr>
          <w:color w:val="000000"/>
          <w:spacing w:val="1"/>
          <w:sz w:val="28"/>
          <w:szCs w:val="28"/>
        </w:rPr>
      </w:pPr>
    </w:p>
    <w:p w14:paraId="78AF4DE2">
      <w:pPr>
        <w:tabs>
          <w:tab w:val="left" w:pos="142"/>
          <w:tab w:val="left" w:pos="284"/>
        </w:tabs>
        <w:jc w:val="both"/>
        <w:rPr>
          <w:bCs/>
          <w:iCs/>
          <w:sz w:val="28"/>
          <w:szCs w:val="28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14605</wp:posOffset>
            </wp:positionV>
            <wp:extent cx="5048250" cy="3014345"/>
            <wp:effectExtent l="0" t="0" r="0" b="14605"/>
            <wp:wrapSquare wrapText="bothSides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14:paraId="784BDC65">
      <w:pPr>
        <w:tabs>
          <w:tab w:val="left" w:pos="142"/>
          <w:tab w:val="left" w:pos="284"/>
        </w:tabs>
        <w:jc w:val="both"/>
        <w:rPr>
          <w:bCs/>
          <w:iCs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В структуре заболеваемости  </w:t>
      </w:r>
      <w:r>
        <w:rPr>
          <w:i/>
          <w:iCs/>
          <w:color w:val="000000"/>
          <w:spacing w:val="1"/>
          <w:sz w:val="28"/>
          <w:szCs w:val="28"/>
        </w:rPr>
        <w:t>лидируют болезни органов дыхания</w:t>
      </w:r>
      <w:r>
        <w:rPr>
          <w:color w:val="000000"/>
          <w:spacing w:val="1"/>
          <w:sz w:val="28"/>
          <w:szCs w:val="28"/>
        </w:rPr>
        <w:t xml:space="preserve"> – 5</w:t>
      </w:r>
      <w:r>
        <w:rPr>
          <w:color w:val="000000"/>
          <w:spacing w:val="1"/>
          <w:sz w:val="28"/>
          <w:szCs w:val="28"/>
          <w:lang w:val="be-BY"/>
        </w:rPr>
        <w:t>6,9</w:t>
      </w:r>
      <w:r>
        <w:rPr>
          <w:color w:val="000000"/>
          <w:spacing w:val="1"/>
          <w:sz w:val="28"/>
          <w:szCs w:val="28"/>
        </w:rPr>
        <w:t>% (для сравнения 2015 год – 53,2</w:t>
      </w:r>
      <w:r>
        <w:rPr>
          <w:i/>
          <w:iCs/>
          <w:color w:val="000000"/>
          <w:spacing w:val="1"/>
          <w:sz w:val="28"/>
          <w:szCs w:val="28"/>
        </w:rPr>
        <w:t>%), на втором месте - травмы и отравления</w:t>
      </w:r>
      <w:r>
        <w:rPr>
          <w:color w:val="000000"/>
          <w:spacing w:val="1"/>
          <w:sz w:val="28"/>
          <w:szCs w:val="28"/>
        </w:rPr>
        <w:t xml:space="preserve"> – 10,5% (201</w:t>
      </w:r>
      <w:r>
        <w:rPr>
          <w:color w:val="000000"/>
          <w:spacing w:val="1"/>
          <w:sz w:val="28"/>
          <w:szCs w:val="28"/>
          <w:lang w:val="be-BY"/>
        </w:rPr>
        <w:t xml:space="preserve">5 </w:t>
      </w:r>
      <w:r>
        <w:rPr>
          <w:color w:val="000000"/>
          <w:spacing w:val="1"/>
          <w:sz w:val="28"/>
          <w:szCs w:val="28"/>
        </w:rPr>
        <w:t xml:space="preserve">год – 15,7%), </w:t>
      </w:r>
      <w:r>
        <w:rPr>
          <w:i/>
          <w:iCs/>
          <w:color w:val="000000"/>
          <w:spacing w:val="1"/>
          <w:sz w:val="28"/>
          <w:szCs w:val="28"/>
        </w:rPr>
        <w:t>на третьем месте - болезни системы кровообращения</w:t>
      </w:r>
      <w:r>
        <w:rPr>
          <w:color w:val="000000"/>
          <w:spacing w:val="1"/>
          <w:sz w:val="28"/>
          <w:szCs w:val="28"/>
        </w:rPr>
        <w:t xml:space="preserve"> - 6,8% (201</w:t>
      </w:r>
      <w:r>
        <w:rPr>
          <w:color w:val="000000"/>
          <w:spacing w:val="1"/>
          <w:sz w:val="28"/>
          <w:szCs w:val="28"/>
          <w:lang w:val="be-BY"/>
        </w:rPr>
        <w:t xml:space="preserve">5 </w:t>
      </w:r>
      <w:r>
        <w:rPr>
          <w:color w:val="000000"/>
          <w:spacing w:val="1"/>
          <w:sz w:val="28"/>
          <w:szCs w:val="28"/>
        </w:rPr>
        <w:t>год – 7,8%) и далее инфекционные и паразитарные болезни 4,7% (2015 год – 2,3%), болезни эндокринной системы 3,4% (2015 год – 1,9%), психические расстройства 3,4% (2015 год – 1,5%) (рис.10).</w:t>
      </w:r>
    </w:p>
    <w:p w14:paraId="1153144B">
      <w:pPr>
        <w:jc w:val="both"/>
        <w:rPr>
          <w:i/>
          <w:iCs/>
          <w:sz w:val="28"/>
          <w:szCs w:val="28"/>
        </w:rPr>
      </w:pPr>
    </w:p>
    <w:p w14:paraId="3B3E2FA1">
      <w:pPr>
        <w:jc w:val="both"/>
        <w:rPr>
          <w:i/>
          <w:iCs/>
          <w:sz w:val="28"/>
          <w:szCs w:val="28"/>
        </w:rPr>
      </w:pPr>
    </w:p>
    <w:p w14:paraId="5BB5F7AC">
      <w:pPr>
        <w:jc w:val="both"/>
        <w:rPr>
          <w:i/>
          <w:iCs/>
          <w:sz w:val="28"/>
          <w:szCs w:val="28"/>
        </w:rPr>
      </w:pPr>
    </w:p>
    <w:p w14:paraId="6EEB668F">
      <w:pPr>
        <w:jc w:val="both"/>
        <w:rPr>
          <w:i/>
          <w:iCs/>
          <w:sz w:val="28"/>
          <w:szCs w:val="28"/>
        </w:rPr>
      </w:pPr>
    </w:p>
    <w:p w14:paraId="2DA7B638">
      <w:pPr>
        <w:jc w:val="both"/>
        <w:rPr>
          <w:i/>
          <w:iCs/>
          <w:sz w:val="28"/>
          <w:szCs w:val="28"/>
        </w:rPr>
      </w:pPr>
    </w:p>
    <w:p w14:paraId="3B4096A0">
      <w:pPr>
        <w:jc w:val="both"/>
        <w:rPr>
          <w:i/>
          <w:iCs/>
          <w:sz w:val="28"/>
          <w:szCs w:val="28"/>
        </w:rPr>
      </w:pPr>
    </w:p>
    <w:p w14:paraId="57CA7D6D">
      <w:pPr>
        <w:jc w:val="both"/>
        <w:rPr>
          <w:i/>
          <w:iCs/>
          <w:sz w:val="28"/>
          <w:szCs w:val="28"/>
        </w:rPr>
      </w:pPr>
    </w:p>
    <w:p w14:paraId="0E3A93A5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Рисунок 15 Темпы</w:t>
      </w:r>
      <w:r>
        <w:rPr>
          <w:sz w:val="28"/>
          <w:szCs w:val="28"/>
        </w:rPr>
        <w:t xml:space="preserve"> среднегодового прироста по классам заболеваний за период 2015-2024 года, %</w:t>
      </w:r>
    </w:p>
    <w:p w14:paraId="783EDAA2">
      <w:pPr>
        <w:jc w:val="both"/>
        <w:rPr>
          <w:i/>
          <w:iCs/>
          <w:sz w:val="28"/>
          <w:szCs w:val="28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200660</wp:posOffset>
            </wp:positionV>
            <wp:extent cx="5219700" cy="2428875"/>
            <wp:effectExtent l="0" t="0" r="0" b="9525"/>
            <wp:wrapSquare wrapText="bothSides"/>
            <wp:docPr id="13505528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14:paraId="1E5673D0">
      <w:pPr>
        <w:ind w:firstLine="708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Тенденция многолетней динамики (2015-2024 годы) по классам заболеваний (рис.11): </w:t>
      </w:r>
    </w:p>
    <w:p w14:paraId="75A5A8E2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положительные темпы среднегодового прироста фиксируются по 4 нозологическим группам, отрицательные – по 11; </w:t>
      </w:r>
    </w:p>
    <w:p w14:paraId="6F4CDA63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все темпы прироста превышают ±1%.</w:t>
      </w:r>
    </w:p>
    <w:p w14:paraId="72630491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Достоверные тенденции многолетней динамики:</w:t>
      </w:r>
    </w:p>
    <w:p w14:paraId="5BB33193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к умеренному снижению –   </w:t>
      </w:r>
      <w:r>
        <w:rPr>
          <w:color w:val="000000"/>
          <w:spacing w:val="1"/>
          <w:sz w:val="28"/>
          <w:szCs w:val="28"/>
        </w:rPr>
        <w:t xml:space="preserve">новообразования, </w:t>
      </w:r>
      <w:r>
        <w:rPr>
          <w:spacing w:val="1"/>
          <w:sz w:val="28"/>
          <w:szCs w:val="28"/>
        </w:rPr>
        <w:t>болезни кожи, болезни костно-мышечной системы, болезни мочеполовой системы,</w:t>
      </w:r>
      <w:r>
        <w:rPr>
          <w:color w:val="000000"/>
          <w:spacing w:val="1"/>
          <w:sz w:val="28"/>
          <w:szCs w:val="28"/>
        </w:rPr>
        <w:t xml:space="preserve"> травмы и отравления;</w:t>
      </w:r>
    </w:p>
    <w:p w14:paraId="0481BAD5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по остальным нозологиям многолетняя динамика характеризуется неустойчивостью.</w:t>
      </w:r>
    </w:p>
    <w:p w14:paraId="4607A639">
      <w:pPr>
        <w:jc w:val="both"/>
        <w:rPr>
          <w:b/>
          <w:bCs/>
          <w:sz w:val="28"/>
          <w:szCs w:val="28"/>
          <w:u w:val="single"/>
        </w:rPr>
      </w:pPr>
    </w:p>
    <w:p w14:paraId="6A9E0DEF">
      <w:pPr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Сравнительный анализ первичной заболеваемости взрослого населения по основным классам неинфекционной заболеваемости</w:t>
      </w:r>
    </w:p>
    <w:p w14:paraId="7133DC2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18</w:t>
      </w:r>
    </w:p>
    <w:tbl>
      <w:tblPr>
        <w:tblStyle w:val="11"/>
        <w:tblW w:w="13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2"/>
        <w:gridCol w:w="5480"/>
        <w:gridCol w:w="967"/>
        <w:gridCol w:w="1683"/>
        <w:gridCol w:w="1683"/>
      </w:tblGrid>
      <w:tr w14:paraId="4A0A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764" w:type="dxa"/>
            <w:vMerge w:val="restart"/>
            <w:vAlign w:val="center"/>
          </w:tcPr>
          <w:p w14:paraId="6DEE76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Нормированный интенсивный показатель</w:t>
            </w:r>
          </w:p>
          <w:p w14:paraId="5923CB0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Отношение среднегодового показателя заболеваемости взрослого населения Сенненского района к среднегодовому областному уровню заболеваемости по отдельным нозологиям</w:t>
            </w:r>
          </w:p>
        </w:tc>
        <w:tc>
          <w:tcPr>
            <w:tcW w:w="5480" w:type="dxa"/>
            <w:noWrap/>
            <w:vAlign w:val="center"/>
          </w:tcPr>
          <w:p w14:paraId="46AFAB01">
            <w:pPr>
              <w:rPr>
                <w:color w:val="000000"/>
              </w:rPr>
            </w:pPr>
            <w:r>
              <w:rPr>
                <w:color w:val="000000"/>
              </w:rPr>
              <w:t>нозологии</w:t>
            </w:r>
          </w:p>
        </w:tc>
        <w:tc>
          <w:tcPr>
            <w:tcW w:w="967" w:type="dxa"/>
            <w:noWrap/>
            <w:vAlign w:val="bottom"/>
          </w:tcPr>
          <w:p w14:paraId="51449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НИП</w:t>
            </w:r>
          </w:p>
        </w:tc>
        <w:tc>
          <w:tcPr>
            <w:tcW w:w="967" w:type="dxa"/>
            <w:shd w:val="clear"/>
            <w:noWrap/>
            <w:vAlign w:val="top"/>
          </w:tcPr>
          <w:p w14:paraId="1B0369A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</w:rPr>
              <w:t>Тсрг.прироста 2015-2024 годы, % (район)</w:t>
            </w:r>
          </w:p>
        </w:tc>
        <w:tc>
          <w:tcPr>
            <w:tcW w:w="967" w:type="dxa"/>
            <w:shd w:val="clear"/>
            <w:noWrap/>
            <w:vAlign w:val="top"/>
          </w:tcPr>
          <w:p w14:paraId="0CCF354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</w:rPr>
              <w:t>Тсрг.прироста 2015-2024 годы, %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(область)</w:t>
            </w:r>
          </w:p>
        </w:tc>
      </w:tr>
      <w:tr w14:paraId="5E16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764" w:type="dxa"/>
            <w:vMerge w:val="continue"/>
            <w:vAlign w:val="center"/>
          </w:tcPr>
          <w:p w14:paraId="106DAC44">
            <w:pPr>
              <w:jc w:val="center"/>
              <w:rPr>
                <w:color w:val="000000"/>
              </w:rPr>
            </w:pPr>
          </w:p>
        </w:tc>
        <w:tc>
          <w:tcPr>
            <w:tcW w:w="5480" w:type="dxa"/>
            <w:noWrap/>
            <w:vAlign w:val="center"/>
          </w:tcPr>
          <w:p w14:paraId="18347481">
            <w:pPr>
              <w:rPr>
                <w:color w:val="000000"/>
              </w:rPr>
            </w:pPr>
            <w:r>
              <w:rPr>
                <w:color w:val="000000"/>
              </w:rPr>
              <w:t>злокачественные новообразования</w:t>
            </w:r>
          </w:p>
        </w:tc>
        <w:tc>
          <w:tcPr>
            <w:tcW w:w="967" w:type="dxa"/>
            <w:shd w:val="clear" w:color="auto" w:fill="F79646" w:themeFill="accent6"/>
            <w:noWrap/>
            <w:vAlign w:val="bottom"/>
          </w:tcPr>
          <w:p w14:paraId="022E88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2AAFE127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+1,6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7D674919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+2,1</w:t>
            </w:r>
          </w:p>
        </w:tc>
      </w:tr>
      <w:tr w14:paraId="695C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4764" w:type="dxa"/>
            <w:vMerge w:val="continue"/>
          </w:tcPr>
          <w:p w14:paraId="6ED5F74C">
            <w:pPr>
              <w:rPr>
                <w:color w:val="000000"/>
              </w:rPr>
            </w:pPr>
          </w:p>
        </w:tc>
        <w:tc>
          <w:tcPr>
            <w:tcW w:w="5480" w:type="dxa"/>
            <w:noWrap/>
            <w:vAlign w:val="center"/>
          </w:tcPr>
          <w:p w14:paraId="07DC581F">
            <w:pPr>
              <w:rPr>
                <w:color w:val="000000"/>
              </w:rPr>
            </w:pPr>
            <w:r>
              <w:rPr>
                <w:color w:val="000000"/>
              </w:rPr>
              <w:t>болезни системы кровообращения</w:t>
            </w:r>
          </w:p>
        </w:tc>
        <w:tc>
          <w:tcPr>
            <w:tcW w:w="967" w:type="dxa"/>
            <w:shd w:val="clear" w:color="auto" w:fill="F79646" w:themeFill="accent6"/>
            <w:noWrap/>
            <w:vAlign w:val="bottom"/>
          </w:tcPr>
          <w:p w14:paraId="7037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2BFC4976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-12,5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02F2A20B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-0,1</w:t>
            </w:r>
          </w:p>
        </w:tc>
      </w:tr>
      <w:tr w14:paraId="1730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764" w:type="dxa"/>
            <w:vMerge w:val="continue"/>
          </w:tcPr>
          <w:p w14:paraId="18CE0E30">
            <w:pPr>
              <w:rPr>
                <w:color w:val="000000"/>
              </w:rPr>
            </w:pPr>
          </w:p>
        </w:tc>
        <w:tc>
          <w:tcPr>
            <w:tcW w:w="5480" w:type="dxa"/>
            <w:noWrap/>
            <w:vAlign w:val="center"/>
          </w:tcPr>
          <w:p w14:paraId="51FF4EC5">
            <w:pPr>
              <w:rPr>
                <w:color w:val="000000"/>
              </w:rPr>
            </w:pPr>
            <w:r>
              <w:rPr>
                <w:color w:val="000000"/>
              </w:rPr>
              <w:t>сахарный диабет</w:t>
            </w:r>
          </w:p>
        </w:tc>
        <w:tc>
          <w:tcPr>
            <w:tcW w:w="967" w:type="dxa"/>
            <w:shd w:val="clear" w:color="auto" w:fill="F79646" w:themeFill="accent6"/>
            <w:noWrap/>
            <w:vAlign w:val="bottom"/>
          </w:tcPr>
          <w:p w14:paraId="1254D2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6EF1F737">
            <w:pPr>
              <w:jc w:val="center"/>
              <w:rPr>
                <w:color w:val="000000"/>
              </w:rPr>
            </w:pPr>
            <w:r>
              <w:rPr>
                <w:rFonts w:hint="default"/>
                <w:color w:val="000000"/>
                <w:lang w:val="en-US"/>
              </w:rPr>
              <w:t>+9,3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40C8BCC0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+4,7</w:t>
            </w:r>
          </w:p>
        </w:tc>
      </w:tr>
      <w:tr w14:paraId="4C4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4764" w:type="dxa"/>
            <w:vMerge w:val="continue"/>
          </w:tcPr>
          <w:p w14:paraId="4F820224">
            <w:pPr>
              <w:rPr>
                <w:color w:val="000000"/>
              </w:rPr>
            </w:pPr>
          </w:p>
        </w:tc>
        <w:tc>
          <w:tcPr>
            <w:tcW w:w="5480" w:type="dxa"/>
            <w:noWrap/>
            <w:vAlign w:val="center"/>
          </w:tcPr>
          <w:p w14:paraId="5D5080D7">
            <w:pPr>
              <w:rPr>
                <w:color w:val="000000"/>
              </w:rPr>
            </w:pPr>
            <w:r>
              <w:rPr>
                <w:color w:val="000000"/>
              </w:rPr>
              <w:t>хронические респираторные заболевания</w:t>
            </w:r>
          </w:p>
        </w:tc>
        <w:tc>
          <w:tcPr>
            <w:tcW w:w="967" w:type="dxa"/>
            <w:shd w:val="clear" w:color="auto" w:fill="F79646" w:themeFill="accent6"/>
            <w:noWrap/>
            <w:vAlign w:val="bottom"/>
          </w:tcPr>
          <w:p w14:paraId="5A086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179DF2EC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-9,2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5EA3DE66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+3,1</w:t>
            </w:r>
          </w:p>
        </w:tc>
      </w:tr>
      <w:tr w14:paraId="5766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764" w:type="dxa"/>
            <w:vMerge w:val="continue"/>
          </w:tcPr>
          <w:p w14:paraId="1EEA7247">
            <w:pPr>
              <w:rPr>
                <w:color w:val="000000"/>
              </w:rPr>
            </w:pPr>
          </w:p>
        </w:tc>
        <w:tc>
          <w:tcPr>
            <w:tcW w:w="5480" w:type="dxa"/>
            <w:noWrap/>
            <w:vAlign w:val="center"/>
          </w:tcPr>
          <w:p w14:paraId="6B077E19">
            <w:pPr>
              <w:rPr>
                <w:color w:val="000000"/>
              </w:rPr>
            </w:pPr>
            <w:r>
              <w:rPr>
                <w:color w:val="000000"/>
              </w:rPr>
              <w:t>травмы, отравления и др.последствия внешних причин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06AAC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46FE861F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-6,4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6CB7B98E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-0,6</w:t>
            </w:r>
          </w:p>
        </w:tc>
      </w:tr>
      <w:tr w14:paraId="5AEA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64" w:type="dxa"/>
            <w:vMerge w:val="continue"/>
          </w:tcPr>
          <w:p w14:paraId="28D5E7FC">
            <w:pPr>
              <w:rPr>
                <w:color w:val="000000"/>
              </w:rPr>
            </w:pPr>
          </w:p>
        </w:tc>
        <w:tc>
          <w:tcPr>
            <w:tcW w:w="5480" w:type="dxa"/>
            <w:noWrap/>
            <w:vAlign w:val="center"/>
          </w:tcPr>
          <w:p w14:paraId="3564B44D">
            <w:pPr>
              <w:rPr>
                <w:color w:val="000000"/>
              </w:rPr>
            </w:pPr>
            <w:r>
              <w:rPr>
                <w:color w:val="000000"/>
              </w:rPr>
              <w:t>психические расстройства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733F2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51247815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+3,2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bottom"/>
          </w:tcPr>
          <w:p w14:paraId="135CFC63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-1,6</w:t>
            </w:r>
          </w:p>
        </w:tc>
      </w:tr>
    </w:tbl>
    <w:p w14:paraId="3E45E39E">
      <w:pPr>
        <w:ind w:firstLine="708" w:firstLineChars="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Показател</w:t>
      </w:r>
      <w:r>
        <w:rPr>
          <w:color w:val="000000"/>
          <w:spacing w:val="1"/>
          <w:sz w:val="28"/>
          <w:szCs w:val="28"/>
          <w:lang w:val="ru-RU"/>
        </w:rPr>
        <w:t>и</w:t>
      </w:r>
      <w:r>
        <w:rPr>
          <w:color w:val="000000"/>
          <w:spacing w:val="1"/>
          <w:sz w:val="28"/>
          <w:szCs w:val="28"/>
        </w:rPr>
        <w:t xml:space="preserve"> заболеваемости </w:t>
      </w:r>
      <w:r>
        <w:rPr>
          <w:rFonts w:hint="default"/>
          <w:color w:val="000000"/>
          <w:spacing w:val="1"/>
          <w:sz w:val="28"/>
          <w:szCs w:val="28"/>
          <w:lang w:val="ru-RU"/>
        </w:rPr>
        <w:t>взрослого</w:t>
      </w:r>
      <w:r>
        <w:rPr>
          <w:color w:val="000000"/>
          <w:sz w:val="28"/>
          <w:szCs w:val="28"/>
        </w:rPr>
        <w:t xml:space="preserve"> населения Сенненского района </w:t>
      </w:r>
      <w:r>
        <w:rPr>
          <w:color w:val="000000"/>
          <w:spacing w:val="1"/>
          <w:sz w:val="28"/>
          <w:szCs w:val="28"/>
        </w:rPr>
        <w:t>злокачественными новообразованиями</w:t>
      </w:r>
      <w:r>
        <w:rPr>
          <w:rFonts w:hint="default"/>
          <w:color w:val="000000"/>
          <w:spacing w:val="1"/>
          <w:sz w:val="28"/>
          <w:szCs w:val="28"/>
          <w:lang w:val="ru-RU"/>
        </w:rPr>
        <w:t xml:space="preserve">, БСК, сахарный диабет, </w:t>
      </w:r>
      <w:r>
        <w:rPr>
          <w:color w:val="000000"/>
          <w:sz w:val="28"/>
          <w:szCs w:val="28"/>
        </w:rPr>
        <w:t>хронические респираторные заболевания</w:t>
      </w:r>
      <w:r>
        <w:rPr>
          <w:color w:val="000000"/>
          <w:spacing w:val="1"/>
          <w:sz w:val="28"/>
          <w:szCs w:val="28"/>
        </w:rPr>
        <w:t xml:space="preserve"> превыша</w:t>
      </w:r>
      <w:r>
        <w:rPr>
          <w:color w:val="000000"/>
          <w:spacing w:val="1"/>
          <w:sz w:val="28"/>
          <w:szCs w:val="28"/>
          <w:lang w:val="ru-RU"/>
        </w:rPr>
        <w:t>ют</w:t>
      </w:r>
      <w:r>
        <w:rPr>
          <w:color w:val="000000"/>
          <w:spacing w:val="1"/>
          <w:sz w:val="28"/>
          <w:szCs w:val="28"/>
        </w:rPr>
        <w:t xml:space="preserve"> среднемноголетний областной уровень, </w:t>
      </w:r>
      <w:r>
        <w:rPr>
          <w:color w:val="000000"/>
          <w:sz w:val="28"/>
          <w:szCs w:val="28"/>
        </w:rPr>
        <w:t xml:space="preserve">по всем остальным нозологиям уровень заболеваемости ниже областного.       </w:t>
      </w:r>
    </w:p>
    <w:p w14:paraId="2664CCA0">
      <w:pPr>
        <w:ind w:firstLine="709"/>
        <w:jc w:val="both"/>
        <w:rPr>
          <w:rFonts w:hint="default"/>
          <w:color w:val="000000"/>
          <w:spacing w:val="1"/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</w:rPr>
        <w:t>Ранжирование территорий относительно среднемноголетнего областного уровня заболеваемости (табл.9): показатель заболеваемости выше районного уровня (</w:t>
      </w:r>
      <w:r>
        <w:rPr>
          <w:rFonts w:hint="default"/>
          <w:color w:val="000000"/>
          <w:spacing w:val="1"/>
          <w:sz w:val="28"/>
          <w:szCs w:val="28"/>
          <w:lang w:val="ru-RU"/>
        </w:rPr>
        <w:t>365,5</w:t>
      </w:r>
      <w:r>
        <w:t>‰)</w:t>
      </w:r>
      <w:r>
        <w:rPr>
          <w:color w:val="000000"/>
          <w:spacing w:val="1"/>
          <w:sz w:val="28"/>
          <w:szCs w:val="28"/>
        </w:rPr>
        <w:t xml:space="preserve"> зарегистрирован в поликлинике Сенненской ЦРБ</w:t>
      </w:r>
      <w:r>
        <w:rPr>
          <w:rFonts w:hint="default"/>
          <w:color w:val="000000"/>
          <w:spacing w:val="1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Мошканской БСУ, Ходцевская ВА</w:t>
      </w:r>
      <w:r>
        <w:rPr>
          <w:rFonts w:hint="default"/>
          <w:sz w:val="28"/>
          <w:szCs w:val="28"/>
          <w:lang w:val="ru-RU"/>
        </w:rPr>
        <w:t>.</w:t>
      </w:r>
    </w:p>
    <w:p w14:paraId="609696B2">
      <w:pPr>
        <w:rPr>
          <w:i/>
          <w:iCs/>
          <w:sz w:val="28"/>
          <w:szCs w:val="28"/>
        </w:rPr>
      </w:pPr>
    </w:p>
    <w:p w14:paraId="302BAF7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9</w:t>
      </w:r>
      <w:r>
        <w:rPr>
          <w:bCs/>
          <w:color w:val="000000"/>
          <w:spacing w:val="4"/>
          <w:sz w:val="28"/>
          <w:szCs w:val="28"/>
        </w:rPr>
        <w:t xml:space="preserve"> </w:t>
      </w:r>
    </w:p>
    <w:tbl>
      <w:tblPr>
        <w:tblStyle w:val="34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701"/>
        <w:gridCol w:w="1559"/>
        <w:gridCol w:w="1560"/>
        <w:gridCol w:w="1701"/>
        <w:gridCol w:w="1559"/>
        <w:gridCol w:w="1559"/>
        <w:gridCol w:w="1276"/>
      </w:tblGrid>
      <w:tr w14:paraId="4D20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69C614C2">
            <w:r>
              <w:t>Первичная заболеваемость</w:t>
            </w:r>
          </w:p>
          <w:p w14:paraId="05A37C99">
            <w:r>
              <w:t xml:space="preserve"> населения</w:t>
            </w:r>
            <w:r>
              <w:rPr>
                <w:color w:val="000000"/>
                <w:spacing w:val="1"/>
              </w:rPr>
              <w:t xml:space="preserve"> 18 лет и старше</w:t>
            </w:r>
          </w:p>
        </w:tc>
        <w:tc>
          <w:tcPr>
            <w:tcW w:w="1701" w:type="dxa"/>
          </w:tcPr>
          <w:p w14:paraId="4F183872">
            <w:r>
              <w:t xml:space="preserve">Поликлиника </w:t>
            </w:r>
          </w:p>
          <w:p w14:paraId="1623FFF9">
            <w:r>
              <w:t>Сенненской ЦРБ</w:t>
            </w:r>
          </w:p>
        </w:tc>
        <w:tc>
          <w:tcPr>
            <w:tcW w:w="1559" w:type="dxa"/>
          </w:tcPr>
          <w:p w14:paraId="4135256F">
            <w:r>
              <w:t>Ходцевская врачебная амбулатория</w:t>
            </w:r>
          </w:p>
        </w:tc>
        <w:tc>
          <w:tcPr>
            <w:tcW w:w="1560" w:type="dxa"/>
          </w:tcPr>
          <w:p w14:paraId="44BF0998">
            <w:r>
              <w:t>Белицкая врачебная амбулатория</w:t>
            </w:r>
          </w:p>
        </w:tc>
        <w:tc>
          <w:tcPr>
            <w:tcW w:w="1701" w:type="dxa"/>
          </w:tcPr>
          <w:p w14:paraId="566862B5">
            <w:r>
              <w:t>Яновская больница сестринского ухода</w:t>
            </w:r>
          </w:p>
        </w:tc>
        <w:tc>
          <w:tcPr>
            <w:tcW w:w="1559" w:type="dxa"/>
          </w:tcPr>
          <w:p w14:paraId="5F2315F8">
            <w:r>
              <w:t>Мошканская больница сестринского ухода</w:t>
            </w:r>
          </w:p>
        </w:tc>
        <w:tc>
          <w:tcPr>
            <w:tcW w:w="1559" w:type="dxa"/>
          </w:tcPr>
          <w:p w14:paraId="3E659DF7">
            <w:r>
              <w:t>Богушевская больница сестринского ухода</w:t>
            </w:r>
          </w:p>
        </w:tc>
        <w:tc>
          <w:tcPr>
            <w:tcW w:w="1276" w:type="dxa"/>
          </w:tcPr>
          <w:p w14:paraId="4F0B16C4">
            <w:r>
              <w:t>Итого по району</w:t>
            </w:r>
          </w:p>
        </w:tc>
      </w:tr>
      <w:tr w14:paraId="25FD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1A341AD6">
            <w:r>
              <w:t>Среднемноголетний показатель 2020-2024 годы, ‰</w:t>
            </w:r>
          </w:p>
        </w:tc>
        <w:tc>
          <w:tcPr>
            <w:tcW w:w="1701" w:type="dxa"/>
            <w:vAlign w:val="center"/>
          </w:tcPr>
          <w:p w14:paraId="51167CBC">
            <w:pPr>
              <w:jc w:val="center"/>
            </w:pPr>
            <w:r>
              <w:rPr>
                <w:color w:val="000000"/>
              </w:rPr>
              <w:t>487,3</w:t>
            </w:r>
          </w:p>
        </w:tc>
        <w:tc>
          <w:tcPr>
            <w:tcW w:w="1559" w:type="dxa"/>
            <w:vAlign w:val="center"/>
          </w:tcPr>
          <w:p w14:paraId="057E955A">
            <w:pPr>
              <w:jc w:val="center"/>
            </w:pPr>
            <w:r>
              <w:rPr>
                <w:color w:val="000000"/>
              </w:rPr>
              <w:t>383,4</w:t>
            </w:r>
          </w:p>
        </w:tc>
        <w:tc>
          <w:tcPr>
            <w:tcW w:w="1560" w:type="dxa"/>
            <w:vAlign w:val="center"/>
          </w:tcPr>
          <w:p w14:paraId="0E16359D">
            <w:pPr>
              <w:jc w:val="center"/>
            </w:pPr>
            <w:r>
              <w:rPr>
                <w:color w:val="000000"/>
              </w:rPr>
              <w:t>224,5</w:t>
            </w:r>
          </w:p>
        </w:tc>
        <w:tc>
          <w:tcPr>
            <w:tcW w:w="1701" w:type="dxa"/>
            <w:vAlign w:val="center"/>
          </w:tcPr>
          <w:p w14:paraId="11CA7B0A">
            <w:pPr>
              <w:jc w:val="center"/>
            </w:pPr>
            <w:r>
              <w:rPr>
                <w:color w:val="000000"/>
              </w:rPr>
              <w:t>312,6</w:t>
            </w:r>
          </w:p>
        </w:tc>
        <w:tc>
          <w:tcPr>
            <w:tcW w:w="1559" w:type="dxa"/>
            <w:vAlign w:val="center"/>
          </w:tcPr>
          <w:p w14:paraId="06D8EA62">
            <w:pPr>
              <w:jc w:val="center"/>
            </w:pPr>
            <w:r>
              <w:rPr>
                <w:color w:val="000000"/>
              </w:rPr>
              <w:t>414,9</w:t>
            </w:r>
          </w:p>
        </w:tc>
        <w:tc>
          <w:tcPr>
            <w:tcW w:w="1559" w:type="dxa"/>
            <w:vAlign w:val="center"/>
          </w:tcPr>
          <w:p w14:paraId="6AD66FFF">
            <w:pPr>
              <w:jc w:val="center"/>
            </w:pPr>
            <w:r>
              <w:rPr>
                <w:color w:val="000000"/>
              </w:rPr>
              <w:t>180,0</w:t>
            </w:r>
          </w:p>
        </w:tc>
        <w:tc>
          <w:tcPr>
            <w:tcW w:w="1276" w:type="dxa"/>
            <w:vAlign w:val="center"/>
          </w:tcPr>
          <w:p w14:paraId="7BA7BB9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365,5</w:t>
            </w:r>
          </w:p>
        </w:tc>
      </w:tr>
    </w:tbl>
    <w:p w14:paraId="00558692">
      <w:pPr>
        <w:jc w:val="both"/>
        <w:rPr>
          <w:b/>
          <w:bCs/>
          <w:spacing w:val="1"/>
          <w:sz w:val="28"/>
          <w:szCs w:val="28"/>
        </w:rPr>
      </w:pPr>
    </w:p>
    <w:p w14:paraId="4078B8BA">
      <w:pPr>
        <w:jc w:val="both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Показатели временной утраты трудоспособности </w:t>
      </w:r>
      <w:r>
        <w:rPr>
          <w:spacing w:val="1"/>
          <w:sz w:val="28"/>
          <w:szCs w:val="28"/>
        </w:rPr>
        <w:t>(далее – ВУТ)</w:t>
      </w:r>
      <w:r>
        <w:rPr>
          <w:b/>
          <w:bCs/>
          <w:spacing w:val="1"/>
          <w:sz w:val="28"/>
          <w:szCs w:val="28"/>
        </w:rPr>
        <w:t xml:space="preserve"> в связи с заболеваниями и травмой в быту</w:t>
      </w:r>
      <w:r>
        <w:rPr>
          <w:sz w:val="28"/>
          <w:szCs w:val="28"/>
        </w:rPr>
        <w:t xml:space="preserve"> </w:t>
      </w:r>
    </w:p>
    <w:p w14:paraId="1058A4C9">
      <w:pPr>
        <w:jc w:val="center"/>
        <w:rPr>
          <w:b/>
          <w:bCs/>
          <w:spacing w:val="1"/>
          <w:sz w:val="28"/>
          <w:szCs w:val="28"/>
        </w:rPr>
      </w:pPr>
      <w:r>
        <w:rPr>
          <w:sz w:val="28"/>
          <w:szCs w:val="28"/>
        </w:rPr>
        <w:t>(по данным государственной статистической отчетности формы 4-Фонд</w:t>
      </w:r>
      <w:r>
        <w:rPr>
          <w:b/>
          <w:bCs/>
          <w:spacing w:val="1"/>
          <w:sz w:val="28"/>
          <w:szCs w:val="28"/>
        </w:rPr>
        <w:t>)</w:t>
      </w:r>
    </w:p>
    <w:p w14:paraId="764884E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Рисунок 16  </w:t>
      </w:r>
    </w:p>
    <w:p w14:paraId="762277D8">
      <w:pPr>
        <w:jc w:val="center"/>
        <w:rPr>
          <w:b/>
          <w:bCs/>
          <w:spacing w:val="1"/>
          <w:sz w:val="28"/>
          <w:szCs w:val="28"/>
        </w:rPr>
      </w:pPr>
    </w:p>
    <w:p w14:paraId="4CBFE62D">
      <w:pPr>
        <w:tabs>
          <w:tab w:val="left" w:pos="720"/>
          <w:tab w:val="left" w:pos="3900"/>
        </w:tabs>
        <w:ind w:firstLine="708"/>
        <w:jc w:val="both"/>
        <w:rPr>
          <w:b/>
          <w:sz w:val="28"/>
          <w:szCs w:val="28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4133850" cy="2743200"/>
            <wp:effectExtent l="19050" t="19050" r="19050" b="19050"/>
            <wp:wrapSquare wrapText="bothSides"/>
            <wp:docPr id="12608825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>
        <w:rPr>
          <w:sz w:val="28"/>
          <w:szCs w:val="28"/>
        </w:rPr>
        <w:t>Уровень заболеваемости с ВУТ  в 2024 году в связи с заболеванием и травмой в быту по району  составил 1413 дней на 100 работающих, что выше уровня 2023 года на 53,6 дня  или 3,9% (в 2023 г. – 1359,4 дней на 100 работающих). Прирост к уровню предыдущего года положительный, многолетняя динамика характеризуется достоверной тенденцией к росту с темпом среднегодового прироста (+7,4%).</w:t>
      </w:r>
    </w:p>
    <w:p w14:paraId="78EE38D7">
      <w:pPr>
        <w:tabs>
          <w:tab w:val="left" w:pos="720"/>
          <w:tab w:val="left" w:pos="3900"/>
        </w:tabs>
        <w:ind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Среднегодовой показатель ВУТ Сенненского района, рассчитанный за период 2015-2024 годы, составил 1137,3 дней и превысил показатель ВУТ Витебской области на 8,3%. </w:t>
      </w:r>
      <w:r>
        <w:rPr>
          <w:spacing w:val="1"/>
          <w:sz w:val="28"/>
          <w:szCs w:val="28"/>
        </w:rPr>
        <w:t xml:space="preserve">Показатели заболеваемости с ВУТ в 2020, 2021 и 2022 года превышали показатели предыдущих лет в 1,6-2,0 раза, что обусловлено пандемией коронавирусной инфекции и ее последствиями. </w:t>
      </w:r>
    </w:p>
    <w:p w14:paraId="660790E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Неудовлетворительная ситуация по заболеваемости с ВУТ в 2024 году сложилась в следующих организациях района: Государственное предприятие "совхоз имени П.М.Машерова (1754 дней на 100 работающих, +9% к прошлому году), ГУ «Богушевский детский социальный пансионат «Лучезарный» (1742 дня, +9%), ГЛХУ «Богушевский лесхоз» (1820 дней, +26%), Унитарное сельскохозяйственное предприятие "Дружбинец" (1988 дней, +20%), </w:t>
      </w:r>
      <w:r>
        <w:rPr>
          <w:color w:val="000000"/>
          <w:sz w:val="28"/>
          <w:szCs w:val="28"/>
        </w:rPr>
        <w:t>УП ЖКХ (1988 дней, +20%).</w:t>
      </w:r>
    </w:p>
    <w:p w14:paraId="4B4EF769">
      <w:pPr>
        <w:tabs>
          <w:tab w:val="left" w:pos="720"/>
          <w:tab w:val="left" w:pos="3900"/>
        </w:tabs>
        <w:jc w:val="both"/>
        <w:rPr>
          <w:b/>
          <w:bCs/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Анализ временной утраты трудоспособности на этих предприятиях показал, что большинство (более 50%) больничных листов выданы лицам с заболеваниями ОРИ и другими неинфекционными заболеваниями органов дыхания, второе место занимают травмы, отравления,  третье место - сердечно-сосудистые заболевания. </w:t>
      </w:r>
    </w:p>
    <w:p w14:paraId="4E108883">
      <w:pPr>
        <w:jc w:val="both"/>
        <w:rPr>
          <w:b/>
          <w:bCs/>
          <w:color w:val="000000"/>
          <w:spacing w:val="1"/>
          <w:sz w:val="28"/>
          <w:szCs w:val="28"/>
        </w:rPr>
      </w:pPr>
    </w:p>
    <w:p w14:paraId="6AD6B0A7">
      <w:pPr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Показатели первичной инвалидности населения Сенненского района (случаев 100000 населения)</w:t>
      </w:r>
    </w:p>
    <w:p w14:paraId="4943F359">
      <w:pPr>
        <w:jc w:val="center"/>
        <w:rPr>
          <w:b/>
          <w:bCs/>
          <w:color w:val="000000"/>
          <w:spacing w:val="1"/>
          <w:sz w:val="28"/>
          <w:szCs w:val="28"/>
        </w:rPr>
      </w:pPr>
    </w:p>
    <w:p w14:paraId="4EDB80C3">
      <w:pPr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Показатель инвалидности – важнейший медико-социальный критерий общественного здоровья, характеризующий уровень социально-экономического развития общества, экологическое состояние территории, качество медицинской и социальной помощи, проводимых профилактических мероприятий.</w:t>
      </w:r>
    </w:p>
    <w:p w14:paraId="0980AA70">
      <w:pPr>
        <w:ind w:firstLine="708"/>
        <w:jc w:val="both"/>
        <w:rPr>
          <w:b/>
          <w:bCs/>
          <w:color w:val="000000"/>
          <w:spacing w:val="4"/>
          <w:sz w:val="28"/>
          <w:szCs w:val="28"/>
        </w:rPr>
      </w:pPr>
    </w:p>
    <w:p w14:paraId="55E7941A">
      <w:pPr>
        <w:rPr>
          <w:i/>
          <w:iCs/>
          <w:color w:val="000000"/>
          <w:spacing w:val="4"/>
          <w:sz w:val="28"/>
          <w:szCs w:val="28"/>
        </w:rPr>
      </w:pPr>
      <w:r>
        <w:rPr>
          <w:i/>
          <w:iCs/>
          <w:color w:val="000000"/>
          <w:spacing w:val="4"/>
          <w:sz w:val="28"/>
          <w:szCs w:val="28"/>
        </w:rPr>
        <w:t>Таблица 11</w:t>
      </w:r>
    </w:p>
    <w:tbl>
      <w:tblPr>
        <w:tblStyle w:val="11"/>
        <w:tblW w:w="11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76"/>
        <w:gridCol w:w="1275"/>
        <w:gridCol w:w="1189"/>
        <w:gridCol w:w="1256"/>
        <w:gridCol w:w="2078"/>
        <w:gridCol w:w="1457"/>
      </w:tblGrid>
      <w:tr w14:paraId="37D3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114" w:type="dxa"/>
            <w:vMerge w:val="restart"/>
            <w:noWrap/>
            <w:vAlign w:val="center"/>
          </w:tcPr>
          <w:p w14:paraId="30298C6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Показатель первичной инвалидности, 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/</w:t>
            </w:r>
            <w:r>
              <w:rPr>
                <w:color w:val="000000"/>
                <w:vertAlign w:val="subscript"/>
              </w:rPr>
              <w:t>000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44FD09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3A5EFCD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445" w:type="dxa"/>
            <w:gridSpan w:val="2"/>
            <w:shd w:val="clear" w:color="000000" w:fill="FFFFFF"/>
            <w:vAlign w:val="center"/>
          </w:tcPr>
          <w:p w14:paraId="69170CC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среднее значение за период 2015-2024</w:t>
            </w:r>
          </w:p>
        </w:tc>
        <w:tc>
          <w:tcPr>
            <w:tcW w:w="2078" w:type="dxa"/>
            <w:vMerge w:val="restart"/>
            <w:shd w:val="clear" w:color="000000" w:fill="FFFFFF"/>
            <w:vAlign w:val="center"/>
          </w:tcPr>
          <w:p w14:paraId="34517F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среднего прироста 2015-2024 годы, %</w:t>
            </w:r>
          </w:p>
        </w:tc>
        <w:tc>
          <w:tcPr>
            <w:tcW w:w="1457" w:type="dxa"/>
            <w:vMerge w:val="restart"/>
            <w:shd w:val="clear" w:color="000000" w:fill="FFFFFF"/>
            <w:vAlign w:val="center"/>
          </w:tcPr>
          <w:p w14:paraId="358DF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Темп прироста </w:t>
            </w:r>
          </w:p>
          <w:p w14:paraId="235CBD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2024/2023, %</w:t>
            </w:r>
          </w:p>
        </w:tc>
      </w:tr>
      <w:tr w14:paraId="54AB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114" w:type="dxa"/>
            <w:vMerge w:val="continue"/>
            <w:noWrap/>
            <w:vAlign w:val="bottom"/>
          </w:tcPr>
          <w:p w14:paraId="569270A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 w14:paraId="4AF939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 w14:paraId="5618D9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14:paraId="125DE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37B176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2078" w:type="dxa"/>
            <w:vMerge w:val="continue"/>
            <w:vAlign w:val="center"/>
          </w:tcPr>
          <w:p w14:paraId="2E2E01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shd w:val="clear" w:color="000000" w:fill="FFFFFF"/>
            <w:vAlign w:val="center"/>
          </w:tcPr>
          <w:p w14:paraId="35F009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B0F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14" w:type="dxa"/>
            <w:vAlign w:val="center"/>
          </w:tcPr>
          <w:p w14:paraId="60E101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трудоспособное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30FBC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DC69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7D84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63,9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F752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  <w:tc>
          <w:tcPr>
            <w:tcW w:w="2078" w:type="dxa"/>
            <w:shd w:val="clear" w:color="000000" w:fill="FFFFFF"/>
            <w:vAlign w:val="center"/>
          </w:tcPr>
          <w:p w14:paraId="5BF69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-1,1</w:t>
            </w:r>
          </w:p>
        </w:tc>
        <w:tc>
          <w:tcPr>
            <w:tcW w:w="1457" w:type="dxa"/>
            <w:shd w:val="clear" w:color="000000" w:fill="FFFFFF"/>
            <w:vAlign w:val="center"/>
          </w:tcPr>
          <w:p w14:paraId="1DC57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+5,8</w:t>
            </w:r>
          </w:p>
        </w:tc>
      </w:tr>
      <w:tr w14:paraId="1A6C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14" w:type="dxa"/>
            <w:vAlign w:val="center"/>
          </w:tcPr>
          <w:p w14:paraId="5A1BAB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0-18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9FB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7E82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189" w:type="dxa"/>
            <w:vAlign w:val="center"/>
          </w:tcPr>
          <w:p w14:paraId="1153B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5422F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2078" w:type="dxa"/>
            <w:noWrap/>
            <w:vAlign w:val="bottom"/>
          </w:tcPr>
          <w:p w14:paraId="5B6160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+4,6*</w:t>
            </w:r>
          </w:p>
        </w:tc>
        <w:tc>
          <w:tcPr>
            <w:tcW w:w="1457" w:type="dxa"/>
            <w:shd w:val="clear" w:color="000000" w:fill="FFFFFF"/>
            <w:vAlign w:val="center"/>
          </w:tcPr>
          <w:p w14:paraId="41C7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-69,7</w:t>
            </w:r>
          </w:p>
        </w:tc>
      </w:tr>
    </w:tbl>
    <w:p w14:paraId="42EABE29">
      <w:pPr>
        <w:jc w:val="both"/>
        <w:rPr>
          <w:b/>
          <w:bCs/>
          <w:color w:val="000000"/>
          <w:spacing w:val="4"/>
          <w:sz w:val="28"/>
          <w:szCs w:val="28"/>
        </w:rPr>
      </w:pPr>
      <w:r>
        <w:rPr>
          <w:color w:val="000000"/>
          <w:sz w:val="20"/>
          <w:szCs w:val="20"/>
        </w:rPr>
        <w:t>*-неустойчивая динамика заболеваемости</w:t>
      </w:r>
    </w:p>
    <w:p w14:paraId="428E1119">
      <w:pPr>
        <w:ind w:firstLine="708"/>
        <w:jc w:val="both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spacing w:val="1"/>
          <w:sz w:val="28"/>
          <w:szCs w:val="28"/>
        </w:rPr>
        <w:t>Среднегодовой показатель</w:t>
      </w:r>
      <w:r>
        <w:rPr>
          <w:color w:val="000000"/>
          <w:sz w:val="28"/>
          <w:szCs w:val="28"/>
        </w:rPr>
        <w:t xml:space="preserve"> первичной инвалидности трудоспособного населения </w:t>
      </w:r>
      <w:r>
        <w:rPr>
          <w:spacing w:val="1"/>
          <w:sz w:val="28"/>
          <w:szCs w:val="28"/>
        </w:rPr>
        <w:t>района за период 2015-2024 годы выше областного уровня</w:t>
      </w:r>
      <w:r>
        <w:rPr>
          <w:color w:val="000000"/>
          <w:spacing w:val="1"/>
          <w:sz w:val="28"/>
          <w:szCs w:val="28"/>
        </w:rPr>
        <w:t xml:space="preserve"> в 1,65 раза, при этом детского населения </w:t>
      </w:r>
      <w:r>
        <w:rPr>
          <w:rFonts w:eastAsia="SimSun"/>
          <w:color w:val="000000"/>
          <w:sz w:val="28"/>
          <w:szCs w:val="28"/>
          <w:lang w:eastAsia="zh-CN" w:bidi="ar"/>
        </w:rPr>
        <w:t>незначительно отличается от областного уровня.</w:t>
      </w:r>
    </w:p>
    <w:p w14:paraId="5F32BCA1">
      <w:pPr>
        <w:ind w:firstLine="708"/>
        <w:jc w:val="both"/>
      </w:pPr>
      <w:r>
        <w:rPr>
          <w:color w:val="000000"/>
          <w:spacing w:val="4"/>
          <w:sz w:val="28"/>
          <w:szCs w:val="28"/>
        </w:rPr>
        <w:t xml:space="preserve">Темп среднегодового прироста ПИ за период 2015-2024 годы </w:t>
      </w:r>
      <w:r>
        <w:rPr>
          <w:rFonts w:eastAsia="SimSun"/>
          <w:color w:val="000000"/>
          <w:sz w:val="28"/>
          <w:szCs w:val="28"/>
          <w:lang w:eastAsia="zh-CN" w:bidi="ar"/>
        </w:rPr>
        <w:t>трудоспособного населения отрицательный</w:t>
      </w:r>
      <w:r>
        <w:rPr>
          <w:color w:val="000000"/>
          <w:spacing w:val="4"/>
          <w:sz w:val="28"/>
          <w:szCs w:val="28"/>
        </w:rPr>
        <w:t>, среди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детского населения - </w:t>
      </w:r>
      <w:r>
        <w:rPr>
          <w:color w:val="000000"/>
          <w:spacing w:val="4"/>
          <w:sz w:val="28"/>
          <w:szCs w:val="28"/>
        </w:rPr>
        <w:t>положительный, при этом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динамика неустойчивая для характеристики достоверной тенденции. </w:t>
      </w:r>
    </w:p>
    <w:p w14:paraId="387B5072">
      <w:pPr>
        <w:ind w:firstLine="708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>Удельный вес инвалидов 1 и 2 группы среди трудоспособного населения в 2024 году вырос и составил 47,5% (2020г. – 34,8%). Целевой показатель Государственной программы «Здоровье народа» на 2024 год составляет 50%, следовательно, показатель достигнут.</w:t>
      </w:r>
    </w:p>
    <w:p w14:paraId="4C813BFE">
      <w:pPr>
        <w:ind w:firstLine="1410" w:firstLineChars="500"/>
        <w:jc w:val="both"/>
        <w:rPr>
          <w:color w:val="000000"/>
          <w:spacing w:val="1"/>
          <w:sz w:val="28"/>
          <w:szCs w:val="28"/>
        </w:rPr>
      </w:pPr>
    </w:p>
    <w:p w14:paraId="7558A010">
      <w:pPr>
        <w:ind w:firstLine="1410" w:firstLineChars="5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Структура </w:t>
      </w:r>
      <w:r>
        <w:rPr>
          <w:sz w:val="28"/>
          <w:szCs w:val="28"/>
        </w:rPr>
        <w:t>первичной инвалидности населения</w:t>
      </w:r>
      <w:r>
        <w:rPr>
          <w:color w:val="000000"/>
          <w:spacing w:val="1"/>
          <w:sz w:val="28"/>
          <w:szCs w:val="28"/>
        </w:rPr>
        <w:t xml:space="preserve"> трудоспособного возраста</w:t>
      </w:r>
    </w:p>
    <w:tbl>
      <w:tblPr>
        <w:tblStyle w:val="34"/>
        <w:tblW w:w="14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9"/>
        <w:gridCol w:w="6330"/>
      </w:tblGrid>
      <w:tr w14:paraId="3D51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29" w:type="dxa"/>
          </w:tcPr>
          <w:p w14:paraId="6401869D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Рисунок 17</w:t>
            </w:r>
          </w:p>
          <w:p w14:paraId="2996182B">
            <w:pPr>
              <w:jc w:val="both"/>
            </w:pPr>
            <w:r>
              <w:drawing>
                <wp:inline distT="0" distB="0" distL="0" distR="0">
                  <wp:extent cx="4501515" cy="2320925"/>
                  <wp:effectExtent l="13970" t="13970" r="26035" b="27305"/>
                  <wp:docPr id="21013544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6330" w:type="dxa"/>
          </w:tcPr>
          <w:p w14:paraId="7E29E902">
            <w:pPr>
              <w:shd w:val="clear" w:color="auto" w:fill="FFFFFF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u w:val="single"/>
              </w:rPr>
              <w:t>Нозологическая структура ПИ населения трудоспособного возраста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в 2024 году   (рис.11) – лидируют болезни кровообращения 23,4%, 2-ое место занимают новообразования – 18,3%, 3-е место последствия травм и болезни костно-мышечной системы - 11,7%, на 4-ое место вышли психические расстройства – 8,3%, далее следуют болезни органов дыхания, болезни эндокринной системы, болезни глаз. </w:t>
            </w:r>
          </w:p>
          <w:p w14:paraId="28DCE531">
            <w:pPr>
              <w:shd w:val="clear" w:color="auto" w:fill="FFFFFF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В нозологической </w:t>
            </w:r>
            <w:r>
              <w:rPr>
                <w:color w:val="000000"/>
                <w:spacing w:val="1"/>
                <w:sz w:val="28"/>
                <w:szCs w:val="28"/>
                <w:u w:val="single"/>
              </w:rPr>
              <w:t>структуре ПИ детского населения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2024 году превалируют психические расстройства и врождённые аномалии – 35,7%, на 2-ом болезни эндокринной системы – 14,3%.</w:t>
            </w:r>
          </w:p>
        </w:tc>
      </w:tr>
    </w:tbl>
    <w:p w14:paraId="75BDC53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Профессиональные заболевания и отравления</w:t>
      </w:r>
      <w:r>
        <w:rPr>
          <w:sz w:val="28"/>
          <w:szCs w:val="28"/>
        </w:rPr>
        <w:t xml:space="preserve"> на территории Сенненского района отсутствуют. Последний случай зарегистрирован в 2012 году (инфильтративный туберкулёз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1-2 обоих лёгких   у медицинской сестры со стажем работы 15 лет в УЗ «Богушевская областная туберкулёзная больница»).</w:t>
      </w:r>
    </w:p>
    <w:p w14:paraId="0C430CAC">
      <w:pPr>
        <w:ind w:firstLine="708"/>
        <w:jc w:val="both"/>
        <w:rPr>
          <w:sz w:val="28"/>
          <w:szCs w:val="28"/>
        </w:rPr>
      </w:pPr>
    </w:p>
    <w:p w14:paraId="0349DF8E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Первичная заболеваемость наркологическими расстройствами населения</w:t>
      </w:r>
    </w:p>
    <w:p w14:paraId="4411FF7C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Наркомания и алкоголизм – медико-социальная проблема, которая продолжает оставаться актуальной. Эпидемиологическая оценка заболеваемости позволит повысить эффективность профилактической работы.</w:t>
      </w:r>
    </w:p>
    <w:p w14:paraId="5352DF70">
      <w:pPr>
        <w:rPr>
          <w:i/>
          <w:iCs/>
          <w:color w:val="000000"/>
          <w:spacing w:val="4"/>
          <w:sz w:val="28"/>
          <w:szCs w:val="28"/>
        </w:rPr>
      </w:pPr>
      <w:r>
        <w:rPr>
          <w:i/>
          <w:iCs/>
          <w:color w:val="000000"/>
          <w:spacing w:val="4"/>
          <w:sz w:val="28"/>
          <w:szCs w:val="28"/>
        </w:rPr>
        <w:t>Таблица 12</w:t>
      </w:r>
    </w:p>
    <w:tbl>
      <w:tblPr>
        <w:tblStyle w:val="11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851"/>
        <w:gridCol w:w="850"/>
        <w:gridCol w:w="1134"/>
        <w:gridCol w:w="1134"/>
        <w:gridCol w:w="1843"/>
        <w:gridCol w:w="1418"/>
        <w:gridCol w:w="3260"/>
      </w:tblGrid>
      <w:tr w14:paraId="1626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830" w:type="dxa"/>
            <w:vMerge w:val="restart"/>
            <w:noWrap/>
            <w:vAlign w:val="center"/>
          </w:tcPr>
          <w:p w14:paraId="01831B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Первичная заболеваемость </w:t>
            </w:r>
            <w:r>
              <w:rPr>
                <w:b/>
                <w:color w:val="000000"/>
                <w:sz w:val="22"/>
                <w:szCs w:val="22"/>
              </w:rPr>
              <w:t>н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>ар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>кологическими расстройствами населения</w:t>
            </w:r>
          </w:p>
          <w:p w14:paraId="1DB0CA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  <w:vertAlign w:val="subscript"/>
              </w:rPr>
              <w:t>0000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22501E1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769E2DB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2D4C4B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среднее значение за период 2017-2024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14:paraId="62F6DF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среднего прироста 2017-2024 годы, %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33E08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Темп прироста </w:t>
            </w:r>
          </w:p>
          <w:p w14:paraId="48A4E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2024/2023, %</w:t>
            </w:r>
          </w:p>
        </w:tc>
        <w:tc>
          <w:tcPr>
            <w:tcW w:w="3260" w:type="dxa"/>
            <w:vMerge w:val="restart"/>
            <w:shd w:val="clear" w:color="000000" w:fill="FFFFFF"/>
          </w:tcPr>
          <w:p w14:paraId="7884B5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Тенденция за 2015-2024</w:t>
            </w:r>
          </w:p>
        </w:tc>
      </w:tr>
      <w:tr w14:paraId="4C20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830" w:type="dxa"/>
            <w:vMerge w:val="continue"/>
            <w:noWrap/>
            <w:vAlign w:val="bottom"/>
          </w:tcPr>
          <w:p w14:paraId="5E500BD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 w14:paraId="3FE41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2CB97C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2F0E4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7E7C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1843" w:type="dxa"/>
            <w:vMerge w:val="continue"/>
            <w:vAlign w:val="center"/>
          </w:tcPr>
          <w:p w14:paraId="6582C4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vAlign w:val="center"/>
          </w:tcPr>
          <w:p w14:paraId="64C9B9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shd w:val="clear" w:color="000000" w:fill="FFFFFF"/>
          </w:tcPr>
          <w:p w14:paraId="29DE3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0F34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1E5600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Алкоголизм</w:t>
            </w:r>
          </w:p>
        </w:tc>
        <w:tc>
          <w:tcPr>
            <w:tcW w:w="851" w:type="dxa"/>
            <w:shd w:val="clear" w:color="000000" w:fill="FFFFFF"/>
          </w:tcPr>
          <w:p w14:paraId="64583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152,3</w:t>
            </w:r>
          </w:p>
        </w:tc>
        <w:tc>
          <w:tcPr>
            <w:tcW w:w="850" w:type="dxa"/>
            <w:shd w:val="clear" w:color="000000" w:fill="FFFFFF"/>
          </w:tcPr>
          <w:p w14:paraId="272E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171,8</w:t>
            </w:r>
          </w:p>
        </w:tc>
        <w:tc>
          <w:tcPr>
            <w:tcW w:w="1134" w:type="dxa"/>
            <w:vAlign w:val="center"/>
          </w:tcPr>
          <w:p w14:paraId="36919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D6D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FFC0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-5,7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1D6D1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+12,8</w:t>
            </w:r>
          </w:p>
        </w:tc>
        <w:tc>
          <w:tcPr>
            <w:tcW w:w="3260" w:type="dxa"/>
            <w:shd w:val="clear" w:color="000000" w:fill="FFFFFF"/>
          </w:tcPr>
          <w:p w14:paraId="193E89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2020 года умеренная тенденция к росту </w:t>
            </w:r>
          </w:p>
        </w:tc>
      </w:tr>
      <w:tr w14:paraId="26FB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607A6A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Наркомания</w:t>
            </w:r>
          </w:p>
        </w:tc>
        <w:tc>
          <w:tcPr>
            <w:tcW w:w="851" w:type="dxa"/>
            <w:shd w:val="clear" w:color="000000" w:fill="FFFFFF"/>
          </w:tcPr>
          <w:p w14:paraId="5363B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850" w:type="dxa"/>
            <w:shd w:val="clear" w:color="000000" w:fill="FFFFFF"/>
          </w:tcPr>
          <w:p w14:paraId="32C3B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134" w:type="dxa"/>
            <w:vAlign w:val="center"/>
          </w:tcPr>
          <w:p w14:paraId="18E28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A8B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8303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+27,2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C4E1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+5,6</w:t>
            </w:r>
          </w:p>
        </w:tc>
        <w:tc>
          <w:tcPr>
            <w:tcW w:w="3260" w:type="dxa"/>
            <w:shd w:val="clear" w:color="000000" w:fill="FFFFFF"/>
          </w:tcPr>
          <w:p w14:paraId="2B383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  <w:tr w14:paraId="4AD0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0BFEDD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Токсикомания</w:t>
            </w:r>
          </w:p>
        </w:tc>
        <w:tc>
          <w:tcPr>
            <w:tcW w:w="851" w:type="dxa"/>
            <w:shd w:val="clear" w:color="000000" w:fill="FFFFFF"/>
          </w:tcPr>
          <w:p w14:paraId="4B8BE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50283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32A85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1E3E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843" w:type="dxa"/>
            <w:noWrap/>
            <w:vAlign w:val="bottom"/>
          </w:tcPr>
          <w:p w14:paraId="23521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-9,52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E565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260" w:type="dxa"/>
            <w:shd w:val="clear" w:color="000000" w:fill="FFFFFF"/>
          </w:tcPr>
          <w:p w14:paraId="71404C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</w:tbl>
    <w:p w14:paraId="30FE9A46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iCs/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2024 году на учёт у нарколога с диагнозом хронический алкоголизм поставлено на 66 человек больше, чем в 2023 году. В разрезе микротерриторий заболеваемость хроническим алкоголизмом следующая: Центральная районная поликлиника г.Сенно   – 26 человек (2023 год – 21), Белицкая врачебная амбулатория (далее ВА) – 7 человек (2023 – 5), Яновская больница сестринского ухода (далее БСУ) – 12 человек (2023 –11), Богушевская поликлиника – 15 человек (2023 – 14), Ходцевская ВА – 6 человек (2023-4).</w:t>
      </w:r>
    </w:p>
    <w:p w14:paraId="32715017">
      <w:pPr>
        <w:ind w:firstLine="708"/>
        <w:jc w:val="both"/>
        <w:rPr>
          <w:sz w:val="28"/>
          <w:szCs w:val="28"/>
        </w:rPr>
      </w:pPr>
    </w:p>
    <w:p w14:paraId="4A61A91A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неинфекционной заболеваемости населения Сенненского района по отдельным нозологиям</w:t>
      </w:r>
    </w:p>
    <w:p w14:paraId="0FE328BD">
      <w:pPr>
        <w:ind w:firstLine="567"/>
        <w:jc w:val="center"/>
        <w:rPr>
          <w:b/>
          <w:color w:val="000000"/>
          <w:sz w:val="28"/>
          <w:szCs w:val="28"/>
        </w:rPr>
      </w:pPr>
    </w:p>
    <w:p w14:paraId="1FA11467">
      <w:pPr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структуре эндокринологической заболеваемости</w:t>
      </w:r>
      <w:r>
        <w:rPr>
          <w:sz w:val="28"/>
          <w:szCs w:val="28"/>
        </w:rPr>
        <w:t xml:space="preserve"> с впервые в жизни установленным диагнозом всего населения Сенненского района лидирующее место по удельному весу занимает сахарный диабет (2015 – 47,4%; 2024 – 59,2%), на втором месте болезни щитовидной железы (2015 – 54,7%; 2024 – 35,4%). Отмечается изменение общей структуры заболеваемости в 2024 году по сравнению с 2019 годом по увеличению удельного веса сахарного диабета на 10,8%. </w:t>
      </w:r>
    </w:p>
    <w:p w14:paraId="0198719D">
      <w:pPr>
        <w:shd w:val="clear" w:color="auto" w:fill="FFFFFF"/>
        <w:ind w:firstLine="611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заболеваемости детского населения лидирующее место по удельному весу занимают болезни щитовидной железы (2015 – 77,8%; 2024 – 60,0%),</w:t>
      </w:r>
      <w:r>
        <w:rPr>
          <w:color w:val="000000"/>
          <w:spacing w:val="1"/>
          <w:sz w:val="28"/>
          <w:szCs w:val="28"/>
        </w:rPr>
        <w:t xml:space="preserve"> среди населения 18 лет и старше</w:t>
      </w:r>
      <w:r>
        <w:rPr>
          <w:sz w:val="28"/>
          <w:szCs w:val="28"/>
        </w:rPr>
        <w:t xml:space="preserve"> лидирующее место по удельному весу занимает сахарный диабет (2015 – 46,8%; 2024 – 62,2%).</w:t>
      </w:r>
    </w:p>
    <w:p w14:paraId="37CBA177">
      <w:pPr>
        <w:shd w:val="clear" w:color="auto" w:fill="FFFFFF"/>
        <w:ind w:firstLine="61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Рисунок 18</w:t>
      </w:r>
    </w:p>
    <w:p w14:paraId="504B3E5E">
      <w:pPr>
        <w:shd w:val="clear" w:color="auto" w:fill="FFFFFF"/>
        <w:rPr>
          <w:sz w:val="28"/>
          <w:szCs w:val="28"/>
        </w:rPr>
      </w:pPr>
      <w:r>
        <w:drawing>
          <wp:inline distT="0" distB="0" distL="0" distR="0">
            <wp:extent cx="8658225" cy="1132840"/>
            <wp:effectExtent l="4445" t="4445" r="8890" b="5715"/>
            <wp:docPr id="18679018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1A48E0A">
      <w:pPr>
        <w:rPr>
          <w:b/>
          <w:color w:val="000000"/>
          <w:sz w:val="28"/>
          <w:szCs w:val="28"/>
        </w:rPr>
      </w:pPr>
    </w:p>
    <w:p w14:paraId="50E9FE88">
      <w:pPr>
        <w:shd w:val="clear" w:color="auto" w:fill="FFFFFF"/>
        <w:jc w:val="both"/>
        <w:outlineLvl w:val="0"/>
        <w:rPr>
          <w:b/>
          <w:bCs/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Таблица 13</w:t>
      </w:r>
    </w:p>
    <w:tbl>
      <w:tblPr>
        <w:tblStyle w:val="11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851"/>
        <w:gridCol w:w="850"/>
        <w:gridCol w:w="1276"/>
        <w:gridCol w:w="1134"/>
        <w:gridCol w:w="1701"/>
        <w:gridCol w:w="1418"/>
        <w:gridCol w:w="3260"/>
      </w:tblGrid>
      <w:tr w14:paraId="140E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  <w:jc w:val="center"/>
        </w:trPr>
        <w:tc>
          <w:tcPr>
            <w:tcW w:w="2830" w:type="dxa"/>
            <w:vMerge w:val="restart"/>
            <w:noWrap/>
            <w:vAlign w:val="center"/>
          </w:tcPr>
          <w:p w14:paraId="3BD68C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Первичная заболеваемость </w:t>
            </w:r>
            <w:r>
              <w:rPr>
                <w:b/>
                <w:color w:val="000000"/>
                <w:sz w:val="22"/>
                <w:szCs w:val="22"/>
              </w:rPr>
              <w:t xml:space="preserve">сахарным диабетом, 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  <w:vertAlign w:val="subscript"/>
              </w:rPr>
              <w:t>000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30DE0BE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517B69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410" w:type="dxa"/>
            <w:gridSpan w:val="2"/>
            <w:shd w:val="clear" w:color="000000" w:fill="FFFFFF"/>
            <w:vAlign w:val="center"/>
          </w:tcPr>
          <w:p w14:paraId="069398A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среднее значение за период 2015-2024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14:paraId="67540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среднего прироста 2015-2024 годы, %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1E659A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Темп прироста </w:t>
            </w:r>
          </w:p>
          <w:p w14:paraId="3AD5EE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2024/2023, %</w:t>
            </w:r>
          </w:p>
        </w:tc>
        <w:tc>
          <w:tcPr>
            <w:tcW w:w="3260" w:type="dxa"/>
            <w:vMerge w:val="restart"/>
            <w:shd w:val="clear" w:color="000000" w:fill="FFFFFF"/>
          </w:tcPr>
          <w:p w14:paraId="3C39E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Тенденция за 2015-2024</w:t>
            </w:r>
          </w:p>
        </w:tc>
      </w:tr>
      <w:tr w14:paraId="79ED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830" w:type="dxa"/>
            <w:vMerge w:val="continue"/>
            <w:noWrap/>
            <w:vAlign w:val="bottom"/>
          </w:tcPr>
          <w:p w14:paraId="110F40B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 w14:paraId="1131F3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445B86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64AA7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9027E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1701" w:type="dxa"/>
            <w:vMerge w:val="continue"/>
            <w:vAlign w:val="center"/>
          </w:tcPr>
          <w:p w14:paraId="6FAFB9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vAlign w:val="center"/>
          </w:tcPr>
          <w:p w14:paraId="435ECC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shd w:val="clear" w:color="000000" w:fill="FFFFFF"/>
          </w:tcPr>
          <w:p w14:paraId="26CBF7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58B5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1BB58F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всё население </w:t>
            </w:r>
          </w:p>
        </w:tc>
        <w:tc>
          <w:tcPr>
            <w:tcW w:w="851" w:type="dxa"/>
            <w:shd w:val="clear" w:color="000000" w:fill="FFFFFF"/>
          </w:tcPr>
          <w:p w14:paraId="1F5FD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850" w:type="dxa"/>
            <w:shd w:val="clear" w:color="000000" w:fill="FFFFFF"/>
          </w:tcPr>
          <w:p w14:paraId="3ADB70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276" w:type="dxa"/>
            <w:vAlign w:val="center"/>
          </w:tcPr>
          <w:p w14:paraId="0F7B2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77FC7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D1CE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+10,9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978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-1,5</w:t>
            </w:r>
          </w:p>
        </w:tc>
        <w:tc>
          <w:tcPr>
            <w:tcW w:w="3260" w:type="dxa"/>
            <w:shd w:val="clear" w:color="000000" w:fill="FFFFFF"/>
          </w:tcPr>
          <w:p w14:paraId="78290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умеренная тенденция к росту</w:t>
            </w:r>
          </w:p>
        </w:tc>
      </w:tr>
      <w:tr w14:paraId="46E6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347358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18 лет и старше</w:t>
            </w:r>
          </w:p>
        </w:tc>
        <w:tc>
          <w:tcPr>
            <w:tcW w:w="851" w:type="dxa"/>
            <w:shd w:val="clear" w:color="000000" w:fill="FFFFFF"/>
          </w:tcPr>
          <w:p w14:paraId="480DD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850" w:type="dxa"/>
            <w:shd w:val="clear" w:color="000000" w:fill="FFFFFF"/>
          </w:tcPr>
          <w:p w14:paraId="574BB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1276" w:type="dxa"/>
            <w:vAlign w:val="center"/>
          </w:tcPr>
          <w:p w14:paraId="0F83D3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6332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B831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+9,3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FECD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+16,4</w:t>
            </w:r>
          </w:p>
        </w:tc>
        <w:tc>
          <w:tcPr>
            <w:tcW w:w="3260" w:type="dxa"/>
            <w:shd w:val="clear" w:color="000000" w:fill="FFFFFF"/>
          </w:tcPr>
          <w:p w14:paraId="1CC83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умеренная тенденция к росту</w:t>
            </w:r>
          </w:p>
        </w:tc>
      </w:tr>
      <w:tr w14:paraId="66A4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07953D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0-17 лет</w:t>
            </w:r>
          </w:p>
        </w:tc>
        <w:tc>
          <w:tcPr>
            <w:tcW w:w="851" w:type="dxa"/>
            <w:shd w:val="clear" w:color="000000" w:fill="FFFFFF"/>
          </w:tcPr>
          <w:p w14:paraId="0372B1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0" w:type="dxa"/>
            <w:shd w:val="clear" w:color="000000" w:fill="FFFFFF"/>
          </w:tcPr>
          <w:p w14:paraId="620F9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0BB9D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4831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noWrap/>
            <w:vAlign w:val="bottom"/>
          </w:tcPr>
          <w:p w14:paraId="6380B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+16,3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D3B5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260" w:type="dxa"/>
            <w:shd w:val="clear" w:color="000000" w:fill="FFFFFF"/>
          </w:tcPr>
          <w:p w14:paraId="63D7BE19">
            <w:pPr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  <w:tr w14:paraId="7BE4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58206A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трудоспособное</w:t>
            </w:r>
          </w:p>
        </w:tc>
        <w:tc>
          <w:tcPr>
            <w:tcW w:w="851" w:type="dxa"/>
            <w:shd w:val="clear" w:color="000000" w:fill="FFFFFF"/>
          </w:tcPr>
          <w:p w14:paraId="6EB53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850" w:type="dxa"/>
            <w:shd w:val="clear" w:color="000000" w:fill="FFFFFF"/>
          </w:tcPr>
          <w:p w14:paraId="39D77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276" w:type="dxa"/>
            <w:vAlign w:val="center"/>
          </w:tcPr>
          <w:p w14:paraId="1A3EF2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E61E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701" w:type="dxa"/>
            <w:noWrap/>
            <w:vAlign w:val="bottom"/>
          </w:tcPr>
          <w:p w14:paraId="46387F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+14,8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919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-14,5</w:t>
            </w:r>
          </w:p>
        </w:tc>
        <w:tc>
          <w:tcPr>
            <w:tcW w:w="3260" w:type="dxa"/>
            <w:shd w:val="clear" w:color="000000" w:fill="FFFFFF"/>
          </w:tcPr>
          <w:p w14:paraId="6CBF2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умеренная тенденция к росту</w:t>
            </w:r>
          </w:p>
        </w:tc>
      </w:tr>
    </w:tbl>
    <w:p w14:paraId="0638E378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278765</wp:posOffset>
            </wp:positionV>
            <wp:extent cx="635" cy="635"/>
            <wp:effectExtent l="57150" t="38100" r="38100" b="57150"/>
            <wp:wrapNone/>
            <wp:docPr id="954045265" name="Рукописный ввод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045265" name="Рукописный ввод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278765</wp:posOffset>
            </wp:positionV>
            <wp:extent cx="635" cy="635"/>
            <wp:effectExtent l="57150" t="38100" r="38100" b="57150"/>
            <wp:wrapNone/>
            <wp:docPr id="1970264527" name="Рукописный ввод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64527" name="Рукописный ввод 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B22EC">
      <w:pPr>
        <w:ind w:firstLine="46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первые в жизни установленная </w:t>
      </w:r>
      <w:r>
        <w:rPr>
          <w:rFonts w:eastAsia="Calibri"/>
          <w:bCs/>
          <w:sz w:val="28"/>
          <w:szCs w:val="28"/>
        </w:rPr>
        <w:t>заболеваемость</w:t>
      </w:r>
      <w:r>
        <w:rPr>
          <w:rFonts w:eastAsia="Calibri"/>
          <w:bCs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болезнями системы кровообращения (далее - БСК)</w:t>
      </w:r>
      <w:r>
        <w:rPr>
          <w:bCs/>
          <w:sz w:val="28"/>
          <w:szCs w:val="28"/>
        </w:rPr>
        <w:t xml:space="preserve"> всего</w:t>
      </w:r>
      <w:r>
        <w:rPr>
          <w:sz w:val="28"/>
          <w:szCs w:val="28"/>
        </w:rPr>
        <w:t xml:space="preserve"> населения на протяжении периода 2015-2019 годы выше </w:t>
      </w:r>
      <w:r>
        <w:rPr>
          <w:color w:val="000000"/>
          <w:spacing w:val="1"/>
          <w:sz w:val="28"/>
          <w:szCs w:val="28"/>
        </w:rPr>
        <w:t>областного показателя, с 2020 года – ниже областного</w:t>
      </w:r>
      <w:r>
        <w:rPr>
          <w:sz w:val="28"/>
          <w:szCs w:val="28"/>
        </w:rPr>
        <w:t xml:space="preserve">. </w:t>
      </w:r>
    </w:p>
    <w:p w14:paraId="41F797A5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Рисунок 19</w:t>
      </w:r>
    </w:p>
    <w:p w14:paraId="52815B99">
      <w:pPr>
        <w:jc w:val="both"/>
        <w:rPr>
          <w:sz w:val="28"/>
          <w:szCs w:val="28"/>
        </w:rPr>
      </w:pPr>
      <w:r>
        <w:drawing>
          <wp:inline distT="0" distB="0" distL="0" distR="0">
            <wp:extent cx="8734425" cy="1743075"/>
            <wp:effectExtent l="0" t="0" r="9525" b="9525"/>
            <wp:docPr id="4587809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7A3E16F">
      <w:pPr>
        <w:jc w:val="both"/>
        <w:rPr>
          <w:sz w:val="28"/>
          <w:szCs w:val="28"/>
        </w:rPr>
      </w:pPr>
    </w:p>
    <w:p w14:paraId="750C4BE4">
      <w:pPr>
        <w:shd w:val="clear" w:color="auto" w:fill="FFFFFF"/>
        <w:jc w:val="both"/>
        <w:outlineLvl w:val="0"/>
        <w:rPr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Таблица 14</w:t>
      </w:r>
    </w:p>
    <w:tbl>
      <w:tblPr>
        <w:tblStyle w:val="11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851"/>
        <w:gridCol w:w="850"/>
        <w:gridCol w:w="1134"/>
        <w:gridCol w:w="1134"/>
        <w:gridCol w:w="1843"/>
        <w:gridCol w:w="1418"/>
        <w:gridCol w:w="3260"/>
      </w:tblGrid>
      <w:tr w14:paraId="1416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830" w:type="dxa"/>
            <w:vMerge w:val="restart"/>
            <w:noWrap/>
            <w:vAlign w:val="center"/>
          </w:tcPr>
          <w:p w14:paraId="73C871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Первичная заболеваемость системы </w:t>
            </w:r>
            <w:r>
              <w:rPr>
                <w:b/>
                <w:color w:val="000000"/>
                <w:sz w:val="22"/>
                <w:szCs w:val="22"/>
              </w:rPr>
              <w:t xml:space="preserve">кровообращения, 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  <w:vertAlign w:val="subscript"/>
              </w:rPr>
              <w:t>000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6BBAD9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7A377C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3DA4122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среднее значение за период 2015-2024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14:paraId="5A5A5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среднего прироста 2015-2024 годы, %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5721FD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Темп прироста </w:t>
            </w:r>
          </w:p>
          <w:p w14:paraId="4E174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2024/2023, %</w:t>
            </w:r>
          </w:p>
        </w:tc>
        <w:tc>
          <w:tcPr>
            <w:tcW w:w="3260" w:type="dxa"/>
            <w:vMerge w:val="restart"/>
            <w:shd w:val="clear" w:color="000000" w:fill="FFFFFF"/>
          </w:tcPr>
          <w:p w14:paraId="6D9BFB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Тенденция за 2015-2024</w:t>
            </w:r>
          </w:p>
        </w:tc>
      </w:tr>
      <w:tr w14:paraId="5106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830" w:type="dxa"/>
            <w:vMerge w:val="continue"/>
            <w:noWrap/>
            <w:vAlign w:val="bottom"/>
          </w:tcPr>
          <w:p w14:paraId="468936A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 w14:paraId="1902B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17395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EA3C0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B0A3B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1843" w:type="dxa"/>
            <w:vMerge w:val="continue"/>
            <w:vAlign w:val="center"/>
          </w:tcPr>
          <w:p w14:paraId="129507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vAlign w:val="center"/>
          </w:tcPr>
          <w:p w14:paraId="7A5EDD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shd w:val="clear" w:color="000000" w:fill="FFFFFF"/>
          </w:tcPr>
          <w:p w14:paraId="2475A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6D78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7696BF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всё население </w:t>
            </w:r>
          </w:p>
        </w:tc>
        <w:tc>
          <w:tcPr>
            <w:tcW w:w="851" w:type="dxa"/>
            <w:shd w:val="clear" w:color="000000" w:fill="FFFFFF"/>
          </w:tcPr>
          <w:p w14:paraId="10370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850" w:type="dxa"/>
            <w:shd w:val="clear" w:color="000000" w:fill="FFFFFF"/>
          </w:tcPr>
          <w:p w14:paraId="2AB77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134" w:type="dxa"/>
            <w:vAlign w:val="center"/>
          </w:tcPr>
          <w:p w14:paraId="5C032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9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1006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-12,1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6CE43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- 8,8</w:t>
            </w:r>
          </w:p>
        </w:tc>
        <w:tc>
          <w:tcPr>
            <w:tcW w:w="3260" w:type="dxa"/>
            <w:shd w:val="clear" w:color="000000" w:fill="FFFFFF"/>
          </w:tcPr>
          <w:p w14:paraId="12129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  <w:tr w14:paraId="0416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32DB6B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18 лет и старше</w:t>
            </w:r>
          </w:p>
        </w:tc>
        <w:tc>
          <w:tcPr>
            <w:tcW w:w="851" w:type="dxa"/>
            <w:shd w:val="clear" w:color="000000" w:fill="FFFFFF"/>
          </w:tcPr>
          <w:p w14:paraId="26AAF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850" w:type="dxa"/>
            <w:shd w:val="clear" w:color="000000" w:fill="FFFFFF"/>
          </w:tcPr>
          <w:p w14:paraId="09110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vAlign w:val="center"/>
          </w:tcPr>
          <w:p w14:paraId="6E2DC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C3EC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002D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-12,5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91E62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- 9,7</w:t>
            </w:r>
          </w:p>
        </w:tc>
        <w:tc>
          <w:tcPr>
            <w:tcW w:w="3260" w:type="dxa"/>
            <w:shd w:val="clear" w:color="000000" w:fill="FFFFFF"/>
          </w:tcPr>
          <w:p w14:paraId="2DAA94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  <w:tr w14:paraId="71DB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6AD14D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0-17 лет</w:t>
            </w:r>
          </w:p>
        </w:tc>
        <w:tc>
          <w:tcPr>
            <w:tcW w:w="851" w:type="dxa"/>
            <w:shd w:val="clear" w:color="000000" w:fill="FFFFFF"/>
          </w:tcPr>
          <w:p w14:paraId="7A8EE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850" w:type="dxa"/>
            <w:shd w:val="clear" w:color="000000" w:fill="FFFFFF"/>
          </w:tcPr>
          <w:p w14:paraId="5713B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134" w:type="dxa"/>
            <w:vAlign w:val="center"/>
          </w:tcPr>
          <w:p w14:paraId="2A540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D45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843" w:type="dxa"/>
            <w:noWrap/>
            <w:vAlign w:val="bottom"/>
          </w:tcPr>
          <w:p w14:paraId="33918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+27,9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33C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+21,7</w:t>
            </w:r>
          </w:p>
        </w:tc>
        <w:tc>
          <w:tcPr>
            <w:tcW w:w="3260" w:type="dxa"/>
            <w:shd w:val="clear" w:color="000000" w:fill="FFFFFF"/>
          </w:tcPr>
          <w:p w14:paraId="699E1D6D">
            <w:pPr>
              <w:rPr>
                <w:color w:val="000000"/>
              </w:rPr>
            </w:pPr>
            <w:r>
              <w:rPr>
                <w:color w:val="000000"/>
              </w:rPr>
              <w:t>умеренная тенденция к росту</w:t>
            </w:r>
          </w:p>
        </w:tc>
      </w:tr>
      <w:tr w14:paraId="093B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1602E9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трудоспособное</w:t>
            </w:r>
          </w:p>
        </w:tc>
        <w:tc>
          <w:tcPr>
            <w:tcW w:w="851" w:type="dxa"/>
            <w:shd w:val="clear" w:color="000000" w:fill="FFFFFF"/>
          </w:tcPr>
          <w:p w14:paraId="08C72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850" w:type="dxa"/>
            <w:shd w:val="clear" w:color="000000" w:fill="FFFFFF"/>
          </w:tcPr>
          <w:p w14:paraId="5C2A6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1134" w:type="dxa"/>
            <w:vAlign w:val="center"/>
          </w:tcPr>
          <w:p w14:paraId="6130F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1A5A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25,8</w:t>
            </w:r>
          </w:p>
        </w:tc>
        <w:tc>
          <w:tcPr>
            <w:tcW w:w="1843" w:type="dxa"/>
            <w:noWrap/>
            <w:vAlign w:val="bottom"/>
          </w:tcPr>
          <w:p w14:paraId="2117C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-17,4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D75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+7,2</w:t>
            </w:r>
          </w:p>
        </w:tc>
        <w:tc>
          <w:tcPr>
            <w:tcW w:w="3260" w:type="dxa"/>
            <w:shd w:val="clear" w:color="000000" w:fill="FFFFFF"/>
          </w:tcPr>
          <w:p w14:paraId="0A9EC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</w:tbl>
    <w:p w14:paraId="4CB1B0C9">
      <w:pPr>
        <w:jc w:val="both"/>
        <w:rPr>
          <w:i/>
          <w:iCs/>
          <w:sz w:val="28"/>
          <w:szCs w:val="28"/>
        </w:rPr>
      </w:pPr>
    </w:p>
    <w:p w14:paraId="08B3B124">
      <w:pPr>
        <w:jc w:val="both"/>
        <w:rPr>
          <w:i/>
          <w:iCs/>
          <w:sz w:val="28"/>
          <w:szCs w:val="28"/>
        </w:rPr>
      </w:pPr>
    </w:p>
    <w:p w14:paraId="53782CCD">
      <w:pPr>
        <w:jc w:val="both"/>
        <w:rPr>
          <w:i/>
          <w:iCs/>
          <w:sz w:val="28"/>
          <w:szCs w:val="28"/>
        </w:rPr>
      </w:pPr>
    </w:p>
    <w:p w14:paraId="17F30907">
      <w:pPr>
        <w:jc w:val="both"/>
        <w:rPr>
          <w:i/>
          <w:iCs/>
          <w:sz w:val="28"/>
          <w:szCs w:val="28"/>
        </w:rPr>
      </w:pPr>
    </w:p>
    <w:p w14:paraId="6D848198">
      <w:pPr>
        <w:jc w:val="both"/>
        <w:rPr>
          <w:i/>
          <w:iCs/>
          <w:sz w:val="28"/>
          <w:szCs w:val="28"/>
        </w:rPr>
      </w:pPr>
    </w:p>
    <w:p w14:paraId="1313E785">
      <w:pPr>
        <w:jc w:val="both"/>
        <w:rPr>
          <w:i/>
          <w:iCs/>
          <w:sz w:val="28"/>
          <w:szCs w:val="28"/>
        </w:rPr>
      </w:pPr>
    </w:p>
    <w:p w14:paraId="41432B5F">
      <w:pPr>
        <w:jc w:val="both"/>
        <w:rPr>
          <w:i/>
          <w:iCs/>
          <w:sz w:val="28"/>
          <w:szCs w:val="28"/>
        </w:rPr>
      </w:pPr>
    </w:p>
    <w:p w14:paraId="1985609C">
      <w:pPr>
        <w:jc w:val="both"/>
        <w:rPr>
          <w:i/>
          <w:iCs/>
          <w:sz w:val="28"/>
          <w:szCs w:val="28"/>
        </w:rPr>
      </w:pPr>
    </w:p>
    <w:p w14:paraId="7F77DA49">
      <w:pPr>
        <w:jc w:val="both"/>
        <w:rPr>
          <w:i/>
          <w:iCs/>
          <w:sz w:val="28"/>
          <w:szCs w:val="28"/>
        </w:rPr>
      </w:pPr>
    </w:p>
    <w:p w14:paraId="1803A11F">
      <w:pPr>
        <w:jc w:val="both"/>
        <w:rPr>
          <w:i/>
          <w:iCs/>
          <w:sz w:val="28"/>
          <w:szCs w:val="28"/>
        </w:rPr>
      </w:pPr>
    </w:p>
    <w:p w14:paraId="57D7FE10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Рисунок 20</w:t>
      </w:r>
      <w:r>
        <w:rPr>
          <w:sz w:val="28"/>
          <w:szCs w:val="28"/>
        </w:rPr>
        <w:t xml:space="preserve">    </w:t>
      </w:r>
      <w:r>
        <w:rPr>
          <w:color w:val="000000"/>
          <w:spacing w:val="1"/>
          <w:sz w:val="28"/>
          <w:szCs w:val="28"/>
        </w:rPr>
        <w:t xml:space="preserve">Структура </w:t>
      </w:r>
      <w:r>
        <w:rPr>
          <w:bCs/>
          <w:color w:val="000000"/>
          <w:sz w:val="28"/>
          <w:szCs w:val="28"/>
        </w:rPr>
        <w:t>первичной заболеваемости БСК</w:t>
      </w:r>
    </w:p>
    <w:p w14:paraId="143A8CFF">
      <w:pPr>
        <w:shd w:val="clear" w:color="auto" w:fill="FFFFFF"/>
        <w:jc w:val="both"/>
        <w:outlineLvl w:val="0"/>
        <w:rPr>
          <w:color w:val="000000"/>
          <w:spacing w:val="1"/>
          <w:sz w:val="28"/>
          <w:szCs w:val="28"/>
        </w:rPr>
      </w:pPr>
      <w:r>
        <w:rPr>
          <w:bCs/>
          <w:color w:val="000000"/>
          <w:sz w:val="28"/>
          <w:szCs w:val="28"/>
        </w:rPr>
        <w:t>населения 18 лет и старше Сенненского района</w:t>
      </w:r>
      <w:r>
        <w:rPr>
          <w:color w:val="000000"/>
          <w:spacing w:val="1"/>
          <w:sz w:val="28"/>
          <w:szCs w:val="28"/>
        </w:rPr>
        <w:t xml:space="preserve"> за 20</w:t>
      </w:r>
      <w:r>
        <w:rPr>
          <w:color w:val="000000"/>
          <w:spacing w:val="1"/>
          <w:sz w:val="28"/>
          <w:szCs w:val="28"/>
          <w:lang w:val="be-BY"/>
        </w:rPr>
        <w:t>24</w:t>
      </w:r>
      <w:r>
        <w:rPr>
          <w:color w:val="000000"/>
          <w:spacing w:val="1"/>
          <w:sz w:val="28"/>
          <w:szCs w:val="28"/>
        </w:rPr>
        <w:t xml:space="preserve"> год</w:t>
      </w:r>
    </w:p>
    <w:p w14:paraId="253FDCAB">
      <w:pPr>
        <w:tabs>
          <w:tab w:val="left" w:pos="1200"/>
        </w:tabs>
        <w:jc w:val="both"/>
        <w:rPr>
          <w:rFonts w:eastAsia="Calibri"/>
          <w:sz w:val="28"/>
          <w:szCs w:val="28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21590</wp:posOffset>
            </wp:positionV>
            <wp:extent cx="4826635" cy="2743200"/>
            <wp:effectExtent l="13970" t="13970" r="20955" b="16510"/>
            <wp:wrapSquare wrapText="bothSides"/>
            <wp:docPr id="2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  <w:r>
        <w:t xml:space="preserve">          </w:t>
      </w:r>
      <w:r>
        <w:rPr>
          <w:rFonts w:eastAsia="Calibri"/>
          <w:sz w:val="28"/>
          <w:szCs w:val="28"/>
        </w:rPr>
        <w:t xml:space="preserve">В структуре заболеваемости </w:t>
      </w:r>
      <w:r>
        <w:rPr>
          <w:bCs/>
          <w:color w:val="000000"/>
          <w:sz w:val="28"/>
          <w:szCs w:val="28"/>
        </w:rPr>
        <w:t xml:space="preserve">населения 18 лет и старше </w:t>
      </w:r>
      <w:r>
        <w:rPr>
          <w:rFonts w:eastAsia="Calibri"/>
          <w:sz w:val="28"/>
          <w:szCs w:val="28"/>
        </w:rPr>
        <w:t>в 20</w:t>
      </w:r>
      <w:r>
        <w:rPr>
          <w:rFonts w:eastAsia="Calibri"/>
          <w:sz w:val="28"/>
          <w:szCs w:val="28"/>
          <w:lang w:val="be-BY"/>
        </w:rPr>
        <w:t>2</w:t>
      </w:r>
      <w:r>
        <w:rPr>
          <w:rFonts w:eastAsia="Calibri"/>
          <w:sz w:val="28"/>
          <w:szCs w:val="28"/>
        </w:rPr>
        <w:t xml:space="preserve">4 году лидирующее место занимают болезни, характеризующиеся повышенным кровяным давлением – 38,4% (2015 год – </w:t>
      </w:r>
      <w:r>
        <w:rPr>
          <w:rFonts w:eastAsia="Calibri"/>
          <w:sz w:val="28"/>
          <w:szCs w:val="28"/>
          <w:lang w:val="be-BY"/>
        </w:rPr>
        <w:t>20,4</w:t>
      </w:r>
      <w:r>
        <w:rPr>
          <w:rFonts w:eastAsia="Calibri"/>
          <w:sz w:val="28"/>
          <w:szCs w:val="28"/>
        </w:rPr>
        <w:t>%); второе место занимает  ишемическая болезнь сердца – 27,6% (20</w:t>
      </w:r>
      <w:r>
        <w:rPr>
          <w:rFonts w:eastAsia="Calibri"/>
          <w:sz w:val="28"/>
          <w:szCs w:val="28"/>
          <w:lang w:val="be-BY"/>
        </w:rPr>
        <w:t>1</w:t>
      </w:r>
      <w:r>
        <w:rPr>
          <w:rFonts w:eastAsia="Calibri"/>
          <w:sz w:val="28"/>
          <w:szCs w:val="28"/>
        </w:rPr>
        <w:t xml:space="preserve">5 год – </w:t>
      </w:r>
      <w:r>
        <w:rPr>
          <w:rFonts w:eastAsia="Calibri"/>
          <w:sz w:val="28"/>
          <w:szCs w:val="28"/>
          <w:lang w:val="be-BY"/>
        </w:rPr>
        <w:t>24,1</w:t>
      </w:r>
      <w:r>
        <w:rPr>
          <w:rFonts w:eastAsia="Calibri"/>
          <w:sz w:val="28"/>
          <w:szCs w:val="28"/>
        </w:rPr>
        <w:t xml:space="preserve">%); третье место цереброваскулярные болезни – 24,4% (2015 год – 35,8%), (рис.21). </w:t>
      </w:r>
    </w:p>
    <w:p w14:paraId="1E015148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Причины роста первичной и общей заболеваемости БСК   связаны с активизацией   консультативных выездов специалистов в сельские организации здравоохранения, а также фактор постарения населения 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злоупотребление алкоголем.</w:t>
      </w:r>
    </w:p>
    <w:p w14:paraId="339803BC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14:paraId="69D40F32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</w:p>
    <w:p w14:paraId="0757F172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330200</wp:posOffset>
            </wp:positionV>
            <wp:extent cx="635" cy="635"/>
            <wp:effectExtent l="57150" t="38100" r="38100" b="57150"/>
            <wp:wrapNone/>
            <wp:docPr id="877025287" name="Рукописный ввод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25287" name="Рукописный ввод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625475</wp:posOffset>
            </wp:positionV>
            <wp:extent cx="4445" cy="635"/>
            <wp:effectExtent l="0" t="0" r="0" b="0"/>
            <wp:wrapNone/>
            <wp:docPr id="1138925814" name="Рукописный ввод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925814" name="Рукописный ввод 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2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377825</wp:posOffset>
            </wp:positionV>
            <wp:extent cx="635" cy="635"/>
            <wp:effectExtent l="57150" t="38100" r="38100" b="57150"/>
            <wp:wrapNone/>
            <wp:docPr id="403814630" name="Рукописный ввод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14630" name="Рукописный ввод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Первичная </w:t>
      </w:r>
      <w:r>
        <w:rPr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заболеваемость </w:t>
      </w:r>
      <w:r>
        <w:rPr>
          <w:b/>
          <w:bCs/>
          <w:i/>
          <w:iCs/>
          <w:color w:val="000000"/>
          <w:sz w:val="28"/>
          <w:szCs w:val="28"/>
        </w:rPr>
        <w:t>злокачественными новообразованиями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(далее-ЗНО)</w:t>
      </w:r>
    </w:p>
    <w:p w14:paraId="53D654B1">
      <w:pPr>
        <w:ind w:firstLine="708"/>
        <w:rPr>
          <w:iCs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Рисунок 20</w:t>
      </w:r>
      <w:r>
        <w:rPr>
          <w:sz w:val="28"/>
          <w:szCs w:val="28"/>
        </w:rPr>
        <w:t xml:space="preserve">    </w:t>
      </w:r>
    </w:p>
    <w:p w14:paraId="607BDF91">
      <w:pPr>
        <w:jc w:val="center"/>
        <w:rPr>
          <w:iCs/>
          <w:color w:val="000000"/>
          <w:sz w:val="28"/>
          <w:szCs w:val="28"/>
        </w:rPr>
      </w:pPr>
      <w:r>
        <w:drawing>
          <wp:inline distT="0" distB="0" distL="0" distR="0">
            <wp:extent cx="8582025" cy="1381125"/>
            <wp:effectExtent l="0" t="0" r="9525" b="9525"/>
            <wp:docPr id="192818395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7225A6A">
      <w:pPr>
        <w:jc w:val="center"/>
        <w:rPr>
          <w:iCs/>
          <w:color w:val="000000"/>
          <w:sz w:val="28"/>
          <w:szCs w:val="28"/>
        </w:rPr>
      </w:pPr>
    </w:p>
    <w:p w14:paraId="0B3CB2A4">
      <w:pPr>
        <w:shd w:val="clear" w:color="auto" w:fill="FFFFFF"/>
        <w:jc w:val="both"/>
        <w:outlineLvl w:val="0"/>
        <w:rPr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Таблица 15</w:t>
      </w:r>
    </w:p>
    <w:tbl>
      <w:tblPr>
        <w:tblStyle w:val="11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851"/>
        <w:gridCol w:w="850"/>
        <w:gridCol w:w="1134"/>
        <w:gridCol w:w="1134"/>
        <w:gridCol w:w="1843"/>
        <w:gridCol w:w="1418"/>
        <w:gridCol w:w="3260"/>
      </w:tblGrid>
      <w:tr w14:paraId="73F2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830" w:type="dxa"/>
            <w:vMerge w:val="restart"/>
            <w:noWrap/>
            <w:vAlign w:val="center"/>
          </w:tcPr>
          <w:p w14:paraId="329E05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Первичная заболеваемость злокачественными новообразованиями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  <w:vertAlign w:val="subscript"/>
              </w:rPr>
              <w:t>0000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7351B3E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2070BA9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1FB2A9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среднее значение за период 2015-2024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14:paraId="241186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среднего прироста 2015-2024 годы, %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4F519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Темп прироста </w:t>
            </w:r>
          </w:p>
          <w:p w14:paraId="096D7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2024/2023, %</w:t>
            </w:r>
          </w:p>
        </w:tc>
        <w:tc>
          <w:tcPr>
            <w:tcW w:w="3260" w:type="dxa"/>
            <w:vMerge w:val="restart"/>
            <w:shd w:val="clear" w:color="000000" w:fill="FFFFFF"/>
          </w:tcPr>
          <w:p w14:paraId="48800F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Тенденция за 2015-2024</w:t>
            </w:r>
          </w:p>
        </w:tc>
      </w:tr>
      <w:tr w14:paraId="0A99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830" w:type="dxa"/>
            <w:vMerge w:val="continue"/>
            <w:noWrap/>
            <w:vAlign w:val="bottom"/>
          </w:tcPr>
          <w:p w14:paraId="3375188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 w14:paraId="2E3A1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0658B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54CEA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BF0D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1843" w:type="dxa"/>
            <w:vMerge w:val="continue"/>
            <w:vAlign w:val="center"/>
          </w:tcPr>
          <w:p w14:paraId="3684C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vAlign w:val="center"/>
          </w:tcPr>
          <w:p w14:paraId="1DF154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shd w:val="clear" w:color="000000" w:fill="FFFFFF"/>
          </w:tcPr>
          <w:p w14:paraId="4E50B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1684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4EC9A7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всё население </w:t>
            </w:r>
          </w:p>
        </w:tc>
        <w:tc>
          <w:tcPr>
            <w:tcW w:w="851" w:type="dxa"/>
            <w:shd w:val="clear" w:color="000000" w:fill="FFFFFF"/>
          </w:tcPr>
          <w:p w14:paraId="29232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849,8</w:t>
            </w:r>
          </w:p>
        </w:tc>
        <w:tc>
          <w:tcPr>
            <w:tcW w:w="850" w:type="dxa"/>
            <w:shd w:val="clear" w:color="000000" w:fill="FFFFFF"/>
          </w:tcPr>
          <w:p w14:paraId="4476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821,7</w:t>
            </w:r>
          </w:p>
        </w:tc>
        <w:tc>
          <w:tcPr>
            <w:tcW w:w="1134" w:type="dxa"/>
            <w:vAlign w:val="center"/>
          </w:tcPr>
          <w:p w14:paraId="7EAC9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B29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551,6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8A437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EE34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-3,3</w:t>
            </w:r>
          </w:p>
        </w:tc>
        <w:tc>
          <w:tcPr>
            <w:tcW w:w="3260" w:type="dxa"/>
            <w:shd w:val="clear" w:color="000000" w:fill="FFFFFF"/>
          </w:tcPr>
          <w:p w14:paraId="0FDFC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умеренная тенденция к росту</w:t>
            </w:r>
          </w:p>
        </w:tc>
      </w:tr>
      <w:tr w14:paraId="6AF5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67AF6E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18 лет и старше</w:t>
            </w:r>
          </w:p>
        </w:tc>
        <w:tc>
          <w:tcPr>
            <w:tcW w:w="851" w:type="dxa"/>
            <w:shd w:val="clear" w:color="000000" w:fill="FFFFFF"/>
          </w:tcPr>
          <w:p w14:paraId="5038A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995,9</w:t>
            </w:r>
          </w:p>
        </w:tc>
        <w:tc>
          <w:tcPr>
            <w:tcW w:w="850" w:type="dxa"/>
            <w:shd w:val="clear" w:color="000000" w:fill="FFFFFF"/>
          </w:tcPr>
          <w:p w14:paraId="28E050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957,9</w:t>
            </w:r>
          </w:p>
        </w:tc>
        <w:tc>
          <w:tcPr>
            <w:tcW w:w="1134" w:type="dxa"/>
            <w:vAlign w:val="center"/>
          </w:tcPr>
          <w:p w14:paraId="40726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FCA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A9BDB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848AF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-3,8</w:t>
            </w:r>
          </w:p>
        </w:tc>
        <w:tc>
          <w:tcPr>
            <w:tcW w:w="3260" w:type="dxa"/>
            <w:shd w:val="clear" w:color="000000" w:fill="FFFFFF"/>
          </w:tcPr>
          <w:p w14:paraId="4778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умеренная тенденция к росту</w:t>
            </w:r>
          </w:p>
        </w:tc>
      </w:tr>
      <w:tr w14:paraId="3B3E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65684F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0-17 лет</w:t>
            </w:r>
          </w:p>
        </w:tc>
        <w:tc>
          <w:tcPr>
            <w:tcW w:w="851" w:type="dxa"/>
            <w:shd w:val="clear" w:color="000000" w:fill="FFFFFF"/>
          </w:tcPr>
          <w:p w14:paraId="6DB31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850" w:type="dxa"/>
            <w:shd w:val="clear" w:color="000000" w:fill="FFFFFF"/>
          </w:tcPr>
          <w:p w14:paraId="0A40E5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134" w:type="dxa"/>
            <w:vAlign w:val="center"/>
          </w:tcPr>
          <w:p w14:paraId="76AF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A895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843" w:type="dxa"/>
            <w:noWrap/>
            <w:vAlign w:val="bottom"/>
          </w:tcPr>
          <w:p w14:paraId="138CE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0D1C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+5,4</w:t>
            </w:r>
          </w:p>
        </w:tc>
        <w:tc>
          <w:tcPr>
            <w:tcW w:w="3260" w:type="dxa"/>
            <w:shd w:val="clear" w:color="000000" w:fill="FFFFFF"/>
          </w:tcPr>
          <w:p w14:paraId="2B9982DF">
            <w:pPr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  <w:tr w14:paraId="385D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640BCB9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трудоспособное</w:t>
            </w:r>
          </w:p>
        </w:tc>
        <w:tc>
          <w:tcPr>
            <w:tcW w:w="851" w:type="dxa"/>
            <w:shd w:val="clear" w:color="000000" w:fill="FFFFFF"/>
          </w:tcPr>
          <w:p w14:paraId="338EC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518,9</w:t>
            </w:r>
          </w:p>
        </w:tc>
        <w:tc>
          <w:tcPr>
            <w:tcW w:w="850" w:type="dxa"/>
            <w:shd w:val="clear" w:color="000000" w:fill="FFFFFF"/>
          </w:tcPr>
          <w:p w14:paraId="08475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647,6</w:t>
            </w:r>
          </w:p>
        </w:tc>
        <w:tc>
          <w:tcPr>
            <w:tcW w:w="1134" w:type="dxa"/>
            <w:vAlign w:val="center"/>
          </w:tcPr>
          <w:p w14:paraId="33BA9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B72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289,9</w:t>
            </w:r>
          </w:p>
        </w:tc>
        <w:tc>
          <w:tcPr>
            <w:tcW w:w="1843" w:type="dxa"/>
            <w:noWrap/>
            <w:vAlign w:val="bottom"/>
          </w:tcPr>
          <w:p w14:paraId="68B81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9EC1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+24,8</w:t>
            </w:r>
          </w:p>
        </w:tc>
        <w:tc>
          <w:tcPr>
            <w:tcW w:w="3260" w:type="dxa"/>
            <w:shd w:val="clear" w:color="000000" w:fill="FFFFFF"/>
          </w:tcPr>
          <w:p w14:paraId="70DBB935">
            <w:pPr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</w:tbl>
    <w:p w14:paraId="66EFBB64">
      <w:pPr>
        <w:tabs>
          <w:tab w:val="left" w:pos="5145"/>
        </w:tabs>
        <w:jc w:val="both"/>
        <w:rPr>
          <w:rFonts w:eastAsia="Calibri"/>
          <w:sz w:val="28"/>
          <w:szCs w:val="28"/>
        </w:rPr>
      </w:pPr>
      <w:r>
        <w:rPr>
          <w:iCs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207645</wp:posOffset>
            </wp:positionV>
            <wp:extent cx="7620" cy="10160"/>
            <wp:effectExtent l="0" t="0" r="0" b="0"/>
            <wp:wrapNone/>
            <wp:docPr id="2075524045" name="Рукописный ввод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24045" name="Рукописный ввод 1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580" cy="23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Cs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17145</wp:posOffset>
            </wp:positionV>
            <wp:extent cx="3810" cy="6350"/>
            <wp:effectExtent l="0" t="0" r="0" b="0"/>
            <wp:wrapNone/>
            <wp:docPr id="1425600642" name="Рукописный ввод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00642" name="Рукописный ввод 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600" cy="2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8"/>
        <w:gridCol w:w="7101"/>
      </w:tblGrid>
      <w:tr w14:paraId="77DE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028" w:type="dxa"/>
          </w:tcPr>
          <w:p w14:paraId="15F4C7CB">
            <w:pPr>
              <w:ind w:left="22" w:firstLine="22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Рисунок 21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Структура заболеваемости </w:t>
            </w:r>
            <w:r>
              <w:rPr>
                <w:bCs/>
                <w:color w:val="000000"/>
                <w:sz w:val="28"/>
                <w:szCs w:val="28"/>
              </w:rPr>
              <w:t>злокачественным                              новообразованиями по локализации</w:t>
            </w:r>
          </w:p>
        </w:tc>
        <w:tc>
          <w:tcPr>
            <w:tcW w:w="7101" w:type="dxa"/>
          </w:tcPr>
          <w:p w14:paraId="6AA16FC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Рисунок 22 </w:t>
            </w:r>
            <w:r>
              <w:rPr>
                <w:color w:val="000000"/>
                <w:spacing w:val="1"/>
                <w:sz w:val="28"/>
                <w:szCs w:val="28"/>
              </w:rPr>
              <w:t>Темпы среднегодового прироста по классам заболеваний за период 2015 – 2024</w:t>
            </w:r>
          </w:p>
          <w:p w14:paraId="4E4994CF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14:paraId="3820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</w:trPr>
        <w:tc>
          <w:tcPr>
            <w:tcW w:w="7028" w:type="dxa"/>
          </w:tcPr>
          <w:p w14:paraId="335B05B8">
            <w:pPr>
              <w:rPr>
                <w:i/>
                <w:iCs/>
                <w:sz w:val="28"/>
                <w:szCs w:val="28"/>
              </w:rPr>
            </w:pPr>
            <w:r>
              <w:drawing>
                <wp:inline distT="0" distB="0" distL="114300" distR="114300">
                  <wp:extent cx="4218305" cy="3847465"/>
                  <wp:effectExtent l="13970" t="13970" r="19685" b="24765"/>
                  <wp:docPr id="3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7101" w:type="dxa"/>
          </w:tcPr>
          <w:p w14:paraId="45F737B0">
            <w:pPr>
              <w:shd w:val="clear" w:color="auto" w:fill="FFFFFF"/>
              <w:tabs>
                <w:tab w:val="left" w:pos="709"/>
              </w:tabs>
              <w:jc w:val="both"/>
              <w:rPr>
                <w:bCs/>
                <w:color w:val="000000"/>
                <w:spacing w:val="4"/>
                <w:sz w:val="28"/>
                <w:szCs w:val="28"/>
              </w:rPr>
            </w:pPr>
            <w:r>
              <w:drawing>
                <wp:inline distT="0" distB="0" distL="114300" distR="114300">
                  <wp:extent cx="4273550" cy="4260850"/>
                  <wp:effectExtent l="19050" t="19050" r="12700" b="2540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</w:tbl>
    <w:p w14:paraId="480E1706">
      <w:pPr>
        <w:shd w:val="clear" w:color="auto" w:fill="FFFFFF"/>
        <w:tabs>
          <w:tab w:val="left" w:pos="709"/>
        </w:tabs>
        <w:ind w:firstLine="709"/>
        <w:jc w:val="both"/>
        <w:rPr>
          <w:bCs/>
          <w:color w:val="000000"/>
          <w:spacing w:val="4"/>
          <w:sz w:val="28"/>
          <w:szCs w:val="28"/>
          <w:lang w:val="be-BY"/>
        </w:rPr>
      </w:pPr>
      <w:r>
        <w:rPr>
          <w:rFonts w:eastAsia="Calibri"/>
          <w:sz w:val="28"/>
          <w:szCs w:val="28"/>
        </w:rPr>
        <w:t xml:space="preserve">         </w:t>
      </w:r>
      <w:r>
        <w:rPr>
          <w:bCs/>
          <w:color w:val="000000"/>
          <w:spacing w:val="4"/>
          <w:sz w:val="28"/>
          <w:szCs w:val="28"/>
        </w:rPr>
        <w:t>Структура локализаций в 2024 году в сравнении с 2015 годом изменилась, самый высокий удельный вес занимают</w:t>
      </w:r>
      <w:r>
        <w:rPr>
          <w:bCs/>
          <w:color w:val="000000"/>
          <w:spacing w:val="4"/>
          <w:sz w:val="28"/>
          <w:szCs w:val="28"/>
          <w:lang w:val="be-BY"/>
        </w:rPr>
        <w:t xml:space="preserve"> новообразования </w:t>
      </w:r>
      <w:r>
        <w:rPr>
          <w:bCs/>
          <w:color w:val="000000"/>
          <w:spacing w:val="4"/>
          <w:sz w:val="28"/>
          <w:szCs w:val="28"/>
        </w:rPr>
        <w:t>предстательной железы</w:t>
      </w:r>
      <w:r>
        <w:rPr>
          <w:bCs/>
          <w:color w:val="000000"/>
          <w:spacing w:val="4"/>
          <w:sz w:val="28"/>
          <w:szCs w:val="28"/>
          <w:lang w:val="be-BY"/>
        </w:rPr>
        <w:t xml:space="preserve"> – </w:t>
      </w:r>
      <w:r>
        <w:rPr>
          <w:bCs/>
          <w:color w:val="000000"/>
          <w:spacing w:val="4"/>
          <w:sz w:val="28"/>
          <w:szCs w:val="28"/>
        </w:rPr>
        <w:t>16,6</w:t>
      </w:r>
      <w:r>
        <w:rPr>
          <w:bCs/>
          <w:color w:val="000000"/>
          <w:spacing w:val="4"/>
          <w:sz w:val="28"/>
          <w:szCs w:val="28"/>
          <w:lang w:val="be-BY"/>
        </w:rPr>
        <w:t>% (</w:t>
      </w:r>
      <w:r>
        <w:rPr>
          <w:color w:val="000000"/>
          <w:spacing w:val="1"/>
          <w:sz w:val="28"/>
          <w:szCs w:val="28"/>
        </w:rPr>
        <w:t xml:space="preserve">2015 год </w:t>
      </w:r>
      <w:r>
        <w:rPr>
          <w:bCs/>
          <w:color w:val="000000"/>
          <w:spacing w:val="4"/>
          <w:sz w:val="28"/>
          <w:szCs w:val="28"/>
          <w:lang w:val="be-BY"/>
        </w:rPr>
        <w:t xml:space="preserve">– </w:t>
      </w:r>
      <w:r>
        <w:rPr>
          <w:bCs/>
          <w:color w:val="000000"/>
          <w:spacing w:val="4"/>
          <w:sz w:val="28"/>
          <w:szCs w:val="28"/>
        </w:rPr>
        <w:t>10,8</w:t>
      </w:r>
      <w:r>
        <w:rPr>
          <w:bCs/>
          <w:color w:val="000000"/>
          <w:spacing w:val="4"/>
          <w:sz w:val="28"/>
          <w:szCs w:val="28"/>
          <w:lang w:val="be-BY"/>
        </w:rPr>
        <w:t>%)</w:t>
      </w:r>
      <w:r>
        <w:rPr>
          <w:bCs/>
          <w:color w:val="000000"/>
          <w:spacing w:val="4"/>
          <w:sz w:val="28"/>
          <w:szCs w:val="28"/>
        </w:rPr>
        <w:t>, второе место занимают</w:t>
      </w:r>
      <w:r>
        <w:rPr>
          <w:bCs/>
          <w:color w:val="000000"/>
          <w:spacing w:val="4"/>
          <w:sz w:val="28"/>
          <w:szCs w:val="28"/>
          <w:lang w:val="be-BY"/>
        </w:rPr>
        <w:t xml:space="preserve"> новообразрования </w:t>
      </w:r>
      <w:r>
        <w:rPr>
          <w:bCs/>
          <w:color w:val="000000"/>
          <w:spacing w:val="4"/>
          <w:sz w:val="28"/>
          <w:szCs w:val="28"/>
        </w:rPr>
        <w:t>трахеи, бронхов, легкого</w:t>
      </w:r>
      <w:r>
        <w:rPr>
          <w:bCs/>
          <w:color w:val="000000"/>
          <w:spacing w:val="4"/>
          <w:sz w:val="28"/>
          <w:szCs w:val="28"/>
          <w:lang w:val="be-BY"/>
        </w:rPr>
        <w:t xml:space="preserve"> </w:t>
      </w:r>
      <w:r>
        <w:rPr>
          <w:bCs/>
          <w:color w:val="000000"/>
          <w:spacing w:val="4"/>
          <w:sz w:val="28"/>
          <w:szCs w:val="28"/>
        </w:rPr>
        <w:t>– 16,6% (2015 год – 11,5%)</w:t>
      </w:r>
      <w:r>
        <w:rPr>
          <w:bCs/>
          <w:color w:val="000000"/>
          <w:spacing w:val="4"/>
          <w:sz w:val="28"/>
          <w:szCs w:val="28"/>
          <w:lang w:val="be-BY"/>
        </w:rPr>
        <w:t>, третье место</w:t>
      </w:r>
      <w:r>
        <w:rPr>
          <w:color w:val="000000"/>
          <w:spacing w:val="1"/>
          <w:sz w:val="28"/>
          <w:szCs w:val="28"/>
        </w:rPr>
        <w:t xml:space="preserve"> занимают</w:t>
      </w:r>
      <w:r>
        <w:rPr>
          <w:bCs/>
          <w:color w:val="000000"/>
          <w:spacing w:val="4"/>
          <w:sz w:val="28"/>
          <w:szCs w:val="28"/>
          <w:lang w:val="be-BY"/>
        </w:rPr>
        <w:t xml:space="preserve"> другие новообразования кожи – </w:t>
      </w:r>
      <w:r>
        <w:rPr>
          <w:bCs/>
          <w:color w:val="000000"/>
          <w:spacing w:val="4"/>
          <w:sz w:val="28"/>
          <w:szCs w:val="28"/>
        </w:rPr>
        <w:t>10,9</w:t>
      </w:r>
      <w:r>
        <w:rPr>
          <w:bCs/>
          <w:color w:val="000000"/>
          <w:spacing w:val="4"/>
          <w:sz w:val="28"/>
          <w:szCs w:val="28"/>
          <w:lang w:val="be-BY"/>
        </w:rPr>
        <w:t>% (201</w:t>
      </w:r>
      <w:r>
        <w:rPr>
          <w:bCs/>
          <w:color w:val="000000"/>
          <w:spacing w:val="4"/>
          <w:sz w:val="28"/>
          <w:szCs w:val="28"/>
        </w:rPr>
        <w:t>5</w:t>
      </w:r>
      <w:r>
        <w:rPr>
          <w:bCs/>
          <w:color w:val="000000"/>
          <w:spacing w:val="4"/>
          <w:sz w:val="28"/>
          <w:szCs w:val="28"/>
          <w:lang w:val="be-BY"/>
        </w:rPr>
        <w:t xml:space="preserve"> год – </w:t>
      </w:r>
      <w:r>
        <w:rPr>
          <w:bCs/>
          <w:color w:val="000000"/>
          <w:spacing w:val="4"/>
          <w:sz w:val="28"/>
          <w:szCs w:val="28"/>
        </w:rPr>
        <w:t>8,5</w:t>
      </w:r>
      <w:r>
        <w:rPr>
          <w:bCs/>
          <w:color w:val="000000"/>
          <w:spacing w:val="4"/>
          <w:sz w:val="28"/>
          <w:szCs w:val="28"/>
          <w:lang w:val="be-BY"/>
        </w:rPr>
        <w:t>%) (рис.1</w:t>
      </w:r>
      <w:r>
        <w:rPr>
          <w:bCs/>
          <w:color w:val="000000"/>
          <w:spacing w:val="4"/>
          <w:sz w:val="28"/>
          <w:szCs w:val="28"/>
        </w:rPr>
        <w:t>5</w:t>
      </w:r>
      <w:r>
        <w:rPr>
          <w:bCs/>
          <w:color w:val="000000"/>
          <w:spacing w:val="4"/>
          <w:sz w:val="28"/>
          <w:szCs w:val="28"/>
          <w:lang w:val="be-BY"/>
        </w:rPr>
        <w:t>).</w:t>
      </w:r>
    </w:p>
    <w:p w14:paraId="5F9617CC">
      <w:pPr>
        <w:shd w:val="clear" w:color="auto" w:fill="FFFFFF"/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За период 2015-2024 годы заболеваемость населения района злокачественными новообразованиями с впервые </w:t>
      </w:r>
    </w:p>
    <w:p w14:paraId="1C1BC60D">
      <w:pPr>
        <w:tabs>
          <w:tab w:val="left" w:pos="5145"/>
        </w:tabs>
        <w:jc w:val="both"/>
        <w:rPr>
          <w:bCs/>
          <w:color w:val="000000"/>
          <w:spacing w:val="4"/>
          <w:sz w:val="28"/>
          <w:szCs w:val="28"/>
        </w:rPr>
      </w:pPr>
      <w:r>
        <w:rPr>
          <w:rFonts w:eastAsia="Calibri"/>
          <w:sz w:val="28"/>
          <w:szCs w:val="28"/>
        </w:rPr>
        <w:t>установленным диагнозом имеет положительный среднегодовой темп прироста   по 18 локализациям новообразований, наиболее значительный - лейкозы (+18,7%), меланома кожи (+13,8%).  Отрицательный темп среднегодового прироста зафиксирован по 10 локализациям новообразований, наиболее значительное снижение – новообразования пищевода (-12,6%), новообразования соединительной и мягких тканей (-11,0%), щитовидной железы (-10,2%), (рис.16)</w:t>
      </w:r>
    </w:p>
    <w:p w14:paraId="7089AB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заболеваемости по полу: заболеваемость среди мужчин (</w:t>
      </w:r>
      <w:r>
        <w:rPr>
          <w:rFonts w:eastAsia="Calibri"/>
          <w:sz w:val="28"/>
          <w:szCs w:val="28"/>
        </w:rPr>
        <w:t>1111,2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>) выше, чем среди женщин (569,9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>). Заболеваемость населения, проживающего в сельской местности (</w:t>
      </w:r>
      <w:r>
        <w:rPr>
          <w:rFonts w:eastAsia="Calibri"/>
          <w:sz w:val="28"/>
          <w:szCs w:val="28"/>
        </w:rPr>
        <w:t>805,4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>), ниже заболеваемости населения, проживающего в городе (</w:t>
      </w:r>
      <w:r>
        <w:rPr>
          <w:rFonts w:eastAsia="Calibri"/>
          <w:sz w:val="28"/>
          <w:szCs w:val="28"/>
        </w:rPr>
        <w:t>837,6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>).</w:t>
      </w:r>
    </w:p>
    <w:p w14:paraId="6C8531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смертности населения от онкологических заболеваний предусматривается за счёт внедрения программ профилактики, а также за счёт скрининговых программ раннего выявления онкологических заболеваний. Выявление онкологических заболеваний на ранних стадиях от всех случаев выявления рака по итогам 2024 года составило 51% (2023 году – 61,4%).</w:t>
      </w:r>
    </w:p>
    <w:p w14:paraId="4CDB33FD">
      <w:pPr>
        <w:ind w:firstLine="709"/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>Первичная заболеваемость органов дыхания</w:t>
      </w:r>
    </w:p>
    <w:p w14:paraId="1066479B">
      <w:pPr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>Рисунок 23</w:t>
      </w:r>
    </w:p>
    <w:p w14:paraId="3ED5BEDB">
      <w:pPr>
        <w:jc w:val="center"/>
      </w:pPr>
      <w:r>
        <w:rPr>
          <w:shd w:val="clear" w:color="FFFFFF" w:fill="D9D9D9"/>
        </w:rPr>
        <w:drawing>
          <wp:inline distT="0" distB="0" distL="114300" distR="114300">
            <wp:extent cx="8366760" cy="1400175"/>
            <wp:effectExtent l="0" t="0" r="15240" b="9525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5F3D6EE8">
      <w:pPr>
        <w:jc w:val="center"/>
      </w:pPr>
    </w:p>
    <w:p w14:paraId="29079E38">
      <w:pPr>
        <w:shd w:val="clear" w:color="auto" w:fill="FFFFFF"/>
        <w:jc w:val="both"/>
        <w:outlineLvl w:val="0"/>
        <w:rPr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Таблица 16</w:t>
      </w:r>
    </w:p>
    <w:tbl>
      <w:tblPr>
        <w:tblStyle w:val="11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851"/>
        <w:gridCol w:w="850"/>
        <w:gridCol w:w="1134"/>
        <w:gridCol w:w="1134"/>
        <w:gridCol w:w="1843"/>
        <w:gridCol w:w="1418"/>
        <w:gridCol w:w="3260"/>
      </w:tblGrid>
      <w:tr w14:paraId="4E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830" w:type="dxa"/>
            <w:vMerge w:val="restart"/>
            <w:noWrap/>
            <w:vAlign w:val="center"/>
          </w:tcPr>
          <w:p w14:paraId="244D8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Первичная заболеваемость </w:t>
            </w:r>
            <w:r>
              <w:rPr>
                <w:b/>
                <w:color w:val="000000"/>
                <w:sz w:val="22"/>
                <w:szCs w:val="22"/>
              </w:rPr>
              <w:t xml:space="preserve">органов дыхания, 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  <w:vertAlign w:val="subscript"/>
              </w:rPr>
              <w:t>000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4D87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58AD2EA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06E4CE8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среднее значение за период 2015-2024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14:paraId="12D33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среднего прироста 2015-2024 годы, %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4AF41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Темп прироста </w:t>
            </w:r>
          </w:p>
          <w:p w14:paraId="10A348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2024/2023, %</w:t>
            </w:r>
          </w:p>
        </w:tc>
        <w:tc>
          <w:tcPr>
            <w:tcW w:w="3260" w:type="dxa"/>
            <w:vMerge w:val="restart"/>
            <w:shd w:val="clear" w:color="000000" w:fill="FFFFFF"/>
          </w:tcPr>
          <w:p w14:paraId="631F99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Тенденция за 2015-2024</w:t>
            </w:r>
          </w:p>
        </w:tc>
      </w:tr>
      <w:tr w14:paraId="2142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830" w:type="dxa"/>
            <w:vMerge w:val="continue"/>
            <w:noWrap/>
            <w:vAlign w:val="bottom"/>
          </w:tcPr>
          <w:p w14:paraId="0965DE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 w14:paraId="240657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2265E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ADBED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3D29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1843" w:type="dxa"/>
            <w:vMerge w:val="continue"/>
            <w:vAlign w:val="center"/>
          </w:tcPr>
          <w:p w14:paraId="1F76C7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vAlign w:val="center"/>
          </w:tcPr>
          <w:p w14:paraId="2AC68D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shd w:val="clear" w:color="000000" w:fill="FFFFFF"/>
          </w:tcPr>
          <w:p w14:paraId="1E28E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1368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7FF261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всё население </w:t>
            </w:r>
          </w:p>
        </w:tc>
        <w:tc>
          <w:tcPr>
            <w:tcW w:w="851" w:type="dxa"/>
            <w:shd w:val="clear" w:color="000000" w:fill="FFFFFF"/>
          </w:tcPr>
          <w:p w14:paraId="10942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264,3</w:t>
            </w:r>
          </w:p>
        </w:tc>
        <w:tc>
          <w:tcPr>
            <w:tcW w:w="850" w:type="dxa"/>
            <w:shd w:val="clear" w:color="000000" w:fill="FFFFFF"/>
          </w:tcPr>
          <w:p w14:paraId="1ED7E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134" w:type="dxa"/>
            <w:vAlign w:val="center"/>
          </w:tcPr>
          <w:p w14:paraId="5B6F9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D99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444,4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195A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4F14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+4,1</w:t>
            </w:r>
          </w:p>
        </w:tc>
        <w:tc>
          <w:tcPr>
            <w:tcW w:w="3260" w:type="dxa"/>
            <w:shd w:val="clear" w:color="000000" w:fill="FFFFFF"/>
          </w:tcPr>
          <w:p w14:paraId="66959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умеренная тенденция к росту</w:t>
            </w:r>
          </w:p>
        </w:tc>
      </w:tr>
      <w:tr w14:paraId="04B7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374D48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18 лет и старше</w:t>
            </w:r>
          </w:p>
        </w:tc>
        <w:tc>
          <w:tcPr>
            <w:tcW w:w="851" w:type="dxa"/>
            <w:shd w:val="clear" w:color="000000" w:fill="FFFFFF"/>
          </w:tcPr>
          <w:p w14:paraId="2AE82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850" w:type="dxa"/>
            <w:shd w:val="clear" w:color="000000" w:fill="FFFFFF"/>
          </w:tcPr>
          <w:p w14:paraId="265184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207,8</w:t>
            </w:r>
          </w:p>
        </w:tc>
        <w:tc>
          <w:tcPr>
            <w:tcW w:w="1134" w:type="dxa"/>
            <w:vAlign w:val="center"/>
          </w:tcPr>
          <w:p w14:paraId="2041B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972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249,6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55C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2F9C4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+0,8</w:t>
            </w:r>
          </w:p>
        </w:tc>
        <w:tc>
          <w:tcPr>
            <w:tcW w:w="3260" w:type="dxa"/>
            <w:shd w:val="clear" w:color="000000" w:fill="FFFFFF"/>
          </w:tcPr>
          <w:p w14:paraId="02E4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умеренная тенденция к снижению</w:t>
            </w:r>
          </w:p>
        </w:tc>
      </w:tr>
      <w:tr w14:paraId="48E1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0D1EAA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0-17 лет</w:t>
            </w:r>
          </w:p>
        </w:tc>
        <w:tc>
          <w:tcPr>
            <w:tcW w:w="851" w:type="dxa"/>
            <w:shd w:val="clear" w:color="000000" w:fill="FFFFFF"/>
          </w:tcPr>
          <w:p w14:paraId="6C6FE0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550,6</w:t>
            </w:r>
          </w:p>
        </w:tc>
        <w:tc>
          <w:tcPr>
            <w:tcW w:w="850" w:type="dxa"/>
            <w:shd w:val="clear" w:color="000000" w:fill="FFFFFF"/>
          </w:tcPr>
          <w:p w14:paraId="1AF25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626,8</w:t>
            </w:r>
          </w:p>
        </w:tc>
        <w:tc>
          <w:tcPr>
            <w:tcW w:w="1134" w:type="dxa"/>
            <w:vAlign w:val="center"/>
          </w:tcPr>
          <w:p w14:paraId="5E6102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A34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1324,2</w:t>
            </w:r>
          </w:p>
        </w:tc>
        <w:tc>
          <w:tcPr>
            <w:tcW w:w="1843" w:type="dxa"/>
            <w:noWrap/>
            <w:vAlign w:val="bottom"/>
          </w:tcPr>
          <w:p w14:paraId="74FAE4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-6,60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819E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+13,8</w:t>
            </w:r>
          </w:p>
        </w:tc>
        <w:tc>
          <w:tcPr>
            <w:tcW w:w="3260" w:type="dxa"/>
            <w:shd w:val="clear" w:color="000000" w:fill="FFFFFF"/>
          </w:tcPr>
          <w:p w14:paraId="746B0667">
            <w:pPr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</w:tbl>
    <w:p w14:paraId="0E4F7DCA">
      <w:pPr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Анализ структуры первичной заболеваемости болезнями органов дыхания демонстрирует, что основной вклад в заболеваемость вносят ОРИ, удельный вес которых составляет в 2024 году 86,7% (2015 год – 98,0%). </w:t>
      </w:r>
      <w:r>
        <w:rPr>
          <w:color w:val="000000"/>
          <w:spacing w:val="1"/>
          <w:sz w:val="28"/>
          <w:szCs w:val="28"/>
        </w:rPr>
        <w:t>Среди болезней органов дыхания особое место в детской популяции занимает пневмония, по итогам 2024 года показатель первичной заболеваемости составил 46,1‰, что превышает показатель 2023 года в 17,7 раза,</w:t>
      </w:r>
      <w:r>
        <w:rPr>
          <w:sz w:val="28"/>
          <w:szCs w:val="28"/>
        </w:rPr>
        <w:t xml:space="preserve"> сложившаяся ситуация обусловлена вспышкой пневмонии микоплазменной этиологии.</w:t>
      </w:r>
    </w:p>
    <w:p w14:paraId="1A99775E">
      <w:pPr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Анализ структуры первичной заболеваемости болезнями органов дыхания </w:t>
      </w:r>
      <w:r>
        <w:rPr>
          <w:color w:val="000000"/>
          <w:spacing w:val="4"/>
          <w:sz w:val="28"/>
          <w:szCs w:val="28"/>
          <w:u w:val="single"/>
        </w:rPr>
        <w:t>населения 18 лет и старше</w:t>
      </w:r>
      <w:r>
        <w:rPr>
          <w:color w:val="000000"/>
          <w:spacing w:val="4"/>
          <w:sz w:val="28"/>
          <w:szCs w:val="28"/>
        </w:rPr>
        <w:t xml:space="preserve"> демонстрирует, что основной вклад в заболеваемость вносят ОРИ, которые составили в 2024 году  84,5% (2015 год – 77,3%). </w:t>
      </w:r>
    </w:p>
    <w:p w14:paraId="0C85017B">
      <w:pPr>
        <w:tabs>
          <w:tab w:val="left" w:pos="168"/>
          <w:tab w:val="left" w:pos="709"/>
        </w:tabs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Первичная заболеваемость населения </w:t>
      </w:r>
      <w:r>
        <w:rPr>
          <w:b/>
          <w:bCs/>
          <w:i/>
          <w:iCs/>
          <w:color w:val="000000"/>
          <w:sz w:val="28"/>
          <w:szCs w:val="28"/>
          <w:u w:val="single"/>
        </w:rPr>
        <w:t>психическими расстройствами, расстройствами поведения (кроме заболеваний, связанных с употреблением психоактивных веществ</w:t>
      </w:r>
      <w:r>
        <w:rPr>
          <w:b/>
          <w:bCs/>
          <w:i/>
          <w:iCs/>
          <w:color w:val="000000"/>
          <w:sz w:val="28"/>
          <w:szCs w:val="28"/>
        </w:rPr>
        <w:t>)</w:t>
      </w:r>
      <w:r>
        <w:rPr>
          <w:i/>
          <w:iCs/>
          <w:color w:val="000000"/>
          <w:sz w:val="28"/>
          <w:szCs w:val="28"/>
        </w:rPr>
        <w:t xml:space="preserve"> </w:t>
      </w:r>
    </w:p>
    <w:p w14:paraId="4C87238D">
      <w:pPr>
        <w:tabs>
          <w:tab w:val="left" w:pos="168"/>
          <w:tab w:val="left" w:pos="709"/>
        </w:tabs>
        <w:ind w:firstLine="709"/>
        <w:jc w:val="both"/>
        <w:rPr>
          <w:i/>
          <w:iCs/>
          <w:color w:val="000000"/>
          <w:sz w:val="28"/>
          <w:szCs w:val="28"/>
        </w:rPr>
      </w:pPr>
    </w:p>
    <w:p w14:paraId="6596853A">
      <w:pPr>
        <w:shd w:val="clear" w:color="auto" w:fill="FFFFFF"/>
        <w:jc w:val="both"/>
        <w:outlineLvl w:val="0"/>
        <w:rPr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Таблица 17</w:t>
      </w:r>
    </w:p>
    <w:tbl>
      <w:tblPr>
        <w:tblStyle w:val="11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851"/>
        <w:gridCol w:w="850"/>
        <w:gridCol w:w="1134"/>
        <w:gridCol w:w="1134"/>
        <w:gridCol w:w="1843"/>
        <w:gridCol w:w="1418"/>
        <w:gridCol w:w="3260"/>
      </w:tblGrid>
      <w:tr w14:paraId="7329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830" w:type="dxa"/>
            <w:vMerge w:val="restart"/>
            <w:noWrap/>
            <w:vAlign w:val="center"/>
          </w:tcPr>
          <w:p w14:paraId="5A81EF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Первичная заболеваемость </w:t>
            </w:r>
            <w:r>
              <w:rPr>
                <w:b/>
                <w:color w:val="000000"/>
                <w:sz w:val="22"/>
                <w:szCs w:val="22"/>
              </w:rPr>
              <w:t xml:space="preserve">психическими расстройствами, 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  <w:vertAlign w:val="subscript"/>
              </w:rPr>
              <w:t>000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45BE2A3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2B661F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07DFC31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среднее значение за период 2015-2024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14:paraId="2E4AF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среднего прироста 2015-2024 годы, %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0CB48F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Темп прироста </w:t>
            </w:r>
          </w:p>
          <w:p w14:paraId="05FBF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2024/2023, %</w:t>
            </w:r>
          </w:p>
        </w:tc>
        <w:tc>
          <w:tcPr>
            <w:tcW w:w="3260" w:type="dxa"/>
            <w:vMerge w:val="restart"/>
            <w:shd w:val="clear" w:color="000000" w:fill="FFFFFF"/>
          </w:tcPr>
          <w:p w14:paraId="2EA10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Тенденция за 2015-2024</w:t>
            </w:r>
          </w:p>
        </w:tc>
      </w:tr>
      <w:tr w14:paraId="69DE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830" w:type="dxa"/>
            <w:vMerge w:val="continue"/>
            <w:noWrap/>
            <w:vAlign w:val="bottom"/>
          </w:tcPr>
          <w:p w14:paraId="18A8872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 w14:paraId="1455AA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356C67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ADE31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90A8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1843" w:type="dxa"/>
            <w:vMerge w:val="continue"/>
            <w:vAlign w:val="center"/>
          </w:tcPr>
          <w:p w14:paraId="044B6A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vAlign w:val="center"/>
          </w:tcPr>
          <w:p w14:paraId="5C3B8B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shd w:val="clear" w:color="000000" w:fill="FFFFFF"/>
          </w:tcPr>
          <w:p w14:paraId="7360F6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6653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07B01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всё население </w:t>
            </w:r>
          </w:p>
        </w:tc>
        <w:tc>
          <w:tcPr>
            <w:tcW w:w="851" w:type="dxa"/>
            <w:shd w:val="clear" w:color="000000" w:fill="FFFFFF"/>
          </w:tcPr>
          <w:p w14:paraId="0A6D86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850" w:type="dxa"/>
            <w:shd w:val="clear" w:color="000000" w:fill="FFFFFF"/>
          </w:tcPr>
          <w:p w14:paraId="26DB1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134" w:type="dxa"/>
            <w:vAlign w:val="center"/>
          </w:tcPr>
          <w:p w14:paraId="3E5F1E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2925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F9AD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+3,1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30E8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+56,5</w:t>
            </w:r>
          </w:p>
        </w:tc>
        <w:tc>
          <w:tcPr>
            <w:tcW w:w="3260" w:type="dxa"/>
            <w:shd w:val="clear" w:color="000000" w:fill="FFFFFF"/>
          </w:tcPr>
          <w:p w14:paraId="6EAC62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  <w:tr w14:paraId="7986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30FB6C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18 лет и старше</w:t>
            </w:r>
          </w:p>
        </w:tc>
        <w:tc>
          <w:tcPr>
            <w:tcW w:w="851" w:type="dxa"/>
            <w:shd w:val="clear" w:color="000000" w:fill="FFFFFF"/>
          </w:tcPr>
          <w:p w14:paraId="388AB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850" w:type="dxa"/>
            <w:shd w:val="clear" w:color="000000" w:fill="FFFFFF"/>
          </w:tcPr>
          <w:p w14:paraId="3DCAA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1134" w:type="dxa"/>
            <w:vAlign w:val="center"/>
          </w:tcPr>
          <w:p w14:paraId="223AC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2EB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0454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+3,2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7BE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+57,0</w:t>
            </w:r>
          </w:p>
        </w:tc>
        <w:tc>
          <w:tcPr>
            <w:tcW w:w="3260" w:type="dxa"/>
            <w:shd w:val="clear" w:color="000000" w:fill="FFFFFF"/>
          </w:tcPr>
          <w:p w14:paraId="65BF5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  <w:tr w14:paraId="7A86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30" w:type="dxa"/>
            <w:vAlign w:val="center"/>
          </w:tcPr>
          <w:p w14:paraId="41CF5D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0-17 лет</w:t>
            </w:r>
          </w:p>
        </w:tc>
        <w:tc>
          <w:tcPr>
            <w:tcW w:w="851" w:type="dxa"/>
            <w:shd w:val="clear" w:color="000000" w:fill="FFFFFF"/>
          </w:tcPr>
          <w:p w14:paraId="4B454C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shd w:val="clear" w:color="000000" w:fill="FFFFFF"/>
          </w:tcPr>
          <w:p w14:paraId="3C920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134" w:type="dxa"/>
            <w:vAlign w:val="center"/>
          </w:tcPr>
          <w:p w14:paraId="481B1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6BC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843" w:type="dxa"/>
            <w:noWrap/>
            <w:vAlign w:val="bottom"/>
          </w:tcPr>
          <w:p w14:paraId="67D5F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-9,8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5E4E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+70,0</w:t>
            </w:r>
          </w:p>
        </w:tc>
        <w:tc>
          <w:tcPr>
            <w:tcW w:w="3260" w:type="dxa"/>
            <w:shd w:val="clear" w:color="000000" w:fill="FFFFFF"/>
          </w:tcPr>
          <w:p w14:paraId="08AD4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динамика неустойчивая</w:t>
            </w:r>
          </w:p>
        </w:tc>
      </w:tr>
    </w:tbl>
    <w:p w14:paraId="17B94A8A">
      <w:pPr>
        <w:jc w:val="both"/>
        <w:rPr>
          <w:color w:val="000000"/>
          <w:spacing w:val="4"/>
          <w:sz w:val="28"/>
          <w:szCs w:val="28"/>
        </w:rPr>
      </w:pPr>
    </w:p>
    <w:p w14:paraId="3A6D41D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Рост заболеваемости зарегистрирован </w:t>
      </w:r>
      <w:r>
        <w:rPr>
          <w:color w:val="000000"/>
          <w:spacing w:val="1"/>
          <w:sz w:val="28"/>
          <w:szCs w:val="28"/>
        </w:rPr>
        <w:t>в возрастной группе населения старше трудоспособного возраста.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Среди микротерриторий района в 2024 году заболеваемость регистрировалась в зоне обслуживания ЦРП г. Сенно.</w:t>
      </w:r>
    </w:p>
    <w:p w14:paraId="282E5CCB">
      <w:pPr>
        <w:ind w:firstLine="709"/>
        <w:jc w:val="center"/>
        <w:rPr>
          <w:b/>
          <w:bCs/>
          <w:sz w:val="28"/>
          <w:szCs w:val="28"/>
          <w:u w:val="single"/>
        </w:rPr>
      </w:pPr>
      <w:bookmarkStart w:id="2" w:name="_Hlk109738458"/>
    </w:p>
    <w:p w14:paraId="0CED61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</w:p>
    <w:p w14:paraId="4A2D68E6">
      <w:pPr>
        <w:ind w:firstLine="709"/>
        <w:jc w:val="both"/>
        <w:rPr>
          <w:color w:val="000000"/>
          <w:sz w:val="28"/>
          <w:szCs w:val="28"/>
        </w:rPr>
      </w:pPr>
    </w:p>
    <w:p w14:paraId="42A65069">
      <w:pPr>
        <w:ind w:firstLine="709"/>
        <w:jc w:val="both"/>
        <w:rPr>
          <w:color w:val="000000"/>
          <w:sz w:val="28"/>
          <w:szCs w:val="28"/>
        </w:rPr>
      </w:pPr>
    </w:p>
    <w:p w14:paraId="040F05E0">
      <w:pPr>
        <w:ind w:firstLine="709"/>
        <w:jc w:val="both"/>
        <w:rPr>
          <w:color w:val="000000"/>
          <w:sz w:val="28"/>
          <w:szCs w:val="28"/>
        </w:rPr>
      </w:pPr>
    </w:p>
    <w:p w14:paraId="31F1F3EA">
      <w:pPr>
        <w:ind w:firstLine="709"/>
        <w:jc w:val="both"/>
        <w:rPr>
          <w:color w:val="000000"/>
          <w:sz w:val="28"/>
          <w:szCs w:val="28"/>
        </w:rPr>
      </w:pPr>
    </w:p>
    <w:p w14:paraId="7BD592BC">
      <w:pPr>
        <w:ind w:firstLine="709"/>
        <w:jc w:val="both"/>
        <w:rPr>
          <w:color w:val="000000"/>
          <w:sz w:val="28"/>
          <w:szCs w:val="28"/>
        </w:rPr>
      </w:pPr>
    </w:p>
    <w:p w14:paraId="4A4BFE75">
      <w:pPr>
        <w:ind w:firstLine="709"/>
        <w:jc w:val="both"/>
        <w:rPr>
          <w:color w:val="000000"/>
          <w:sz w:val="28"/>
          <w:szCs w:val="28"/>
        </w:rPr>
      </w:pPr>
    </w:p>
    <w:p w14:paraId="6C68F73E">
      <w:pPr>
        <w:jc w:val="both"/>
        <w:rPr>
          <w:color w:val="000000"/>
          <w:sz w:val="28"/>
          <w:szCs w:val="28"/>
        </w:rPr>
      </w:pPr>
    </w:p>
    <w:p w14:paraId="0B914A89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bookmarkEnd w:id="2"/>
    </w:p>
    <w:p w14:paraId="5C9F0B0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2.1.3 Сравнительный территориальный эпидемиологический анализ неинфекционной заболеваемости населения </w:t>
      </w:r>
    </w:p>
    <w:p w14:paraId="764ECCA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19</w:t>
      </w:r>
    </w:p>
    <w:tbl>
      <w:tblPr>
        <w:tblStyle w:val="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275"/>
        <w:gridCol w:w="1276"/>
        <w:gridCol w:w="1276"/>
        <w:gridCol w:w="1134"/>
        <w:gridCol w:w="1134"/>
        <w:gridCol w:w="1189"/>
        <w:gridCol w:w="1002"/>
        <w:gridCol w:w="1185"/>
        <w:gridCol w:w="1439"/>
      </w:tblGrid>
      <w:tr w14:paraId="35E7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256" w:type="dxa"/>
            <w:vMerge w:val="restart"/>
          </w:tcPr>
          <w:p w14:paraId="480DE2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7ABE64A">
            <w:pPr>
              <w:jc w:val="center"/>
              <w:rPr>
                <w:bCs/>
              </w:rPr>
            </w:pPr>
            <w:r>
              <w:rPr>
                <w:bCs/>
              </w:rPr>
              <w:t>Сенненская ЦРП</w:t>
            </w:r>
          </w:p>
          <w:p w14:paraId="78AE9951">
            <w:pPr>
              <w:jc w:val="center"/>
              <w:rPr>
                <w:bCs/>
              </w:rPr>
            </w:pPr>
          </w:p>
        </w:tc>
        <w:tc>
          <w:tcPr>
            <w:tcW w:w="3457" w:type="dxa"/>
            <w:gridSpan w:val="3"/>
          </w:tcPr>
          <w:p w14:paraId="5D3CC2F7">
            <w:pPr>
              <w:jc w:val="center"/>
              <w:rPr>
                <w:bCs/>
              </w:rPr>
            </w:pPr>
            <w:r>
              <w:rPr>
                <w:bCs/>
              </w:rPr>
              <w:t>Ходцевская ВА</w:t>
            </w:r>
          </w:p>
        </w:tc>
        <w:tc>
          <w:tcPr>
            <w:tcW w:w="3626" w:type="dxa"/>
            <w:gridSpan w:val="3"/>
          </w:tcPr>
          <w:p w14:paraId="7F107862">
            <w:pPr>
              <w:jc w:val="center"/>
              <w:rPr>
                <w:bCs/>
              </w:rPr>
            </w:pPr>
            <w:r>
              <w:rPr>
                <w:bCs/>
              </w:rPr>
              <w:t>Мошканская ВА</w:t>
            </w:r>
          </w:p>
        </w:tc>
      </w:tr>
      <w:tr w14:paraId="4386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3256" w:type="dxa"/>
            <w:vMerge w:val="continue"/>
          </w:tcPr>
          <w:p w14:paraId="06B744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D03A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Срг. </w:t>
            </w:r>
          </w:p>
          <w:p w14:paraId="325806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показатель* , ‰</w:t>
            </w:r>
          </w:p>
        </w:tc>
        <w:tc>
          <w:tcPr>
            <w:tcW w:w="1276" w:type="dxa"/>
          </w:tcPr>
          <w:p w14:paraId="3E53C40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Тсрг.пр.* ,%</w:t>
            </w:r>
          </w:p>
          <w:p w14:paraId="75FEB8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(2020-2024)</w:t>
            </w:r>
          </w:p>
        </w:tc>
        <w:tc>
          <w:tcPr>
            <w:tcW w:w="1276" w:type="dxa"/>
          </w:tcPr>
          <w:p w14:paraId="47ECF9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</w:t>
            </w:r>
          </w:p>
        </w:tc>
        <w:tc>
          <w:tcPr>
            <w:tcW w:w="1134" w:type="dxa"/>
          </w:tcPr>
          <w:p w14:paraId="691F46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Срг. </w:t>
            </w:r>
          </w:p>
          <w:p w14:paraId="6FEB12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показатель*, ‰</w:t>
            </w:r>
          </w:p>
        </w:tc>
        <w:tc>
          <w:tcPr>
            <w:tcW w:w="1134" w:type="dxa"/>
          </w:tcPr>
          <w:p w14:paraId="213FC1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Тсрг.пр.* ,%</w:t>
            </w:r>
          </w:p>
          <w:p w14:paraId="283409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(2020-2024)</w:t>
            </w:r>
          </w:p>
        </w:tc>
        <w:tc>
          <w:tcPr>
            <w:tcW w:w="1189" w:type="dxa"/>
          </w:tcPr>
          <w:p w14:paraId="6F4D64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</w:t>
            </w:r>
          </w:p>
        </w:tc>
        <w:tc>
          <w:tcPr>
            <w:tcW w:w="1002" w:type="dxa"/>
          </w:tcPr>
          <w:p w14:paraId="071C89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Срг. </w:t>
            </w:r>
          </w:p>
          <w:p w14:paraId="6CD9C4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показатель*, ‰</w:t>
            </w:r>
          </w:p>
        </w:tc>
        <w:tc>
          <w:tcPr>
            <w:tcW w:w="1185" w:type="dxa"/>
          </w:tcPr>
          <w:p w14:paraId="71D0CC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Тсрг.пр.* ,%</w:t>
            </w:r>
          </w:p>
          <w:p w14:paraId="794409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(2020-2024)</w:t>
            </w:r>
          </w:p>
        </w:tc>
        <w:tc>
          <w:tcPr>
            <w:tcW w:w="1439" w:type="dxa"/>
          </w:tcPr>
          <w:p w14:paraId="421F3D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</w:t>
            </w:r>
          </w:p>
        </w:tc>
      </w:tr>
      <w:tr w14:paraId="16B3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1DC2AE09">
            <w:pPr>
              <w:spacing w:line="240" w:lineRule="exact"/>
              <w:jc w:val="both"/>
              <w:rPr>
                <w:bCs/>
              </w:rPr>
            </w:pPr>
            <w:r>
              <w:t>Первичная заболеваемость населения 18 лет и                                     старше</w:t>
            </w:r>
          </w:p>
        </w:tc>
        <w:tc>
          <w:tcPr>
            <w:tcW w:w="1275" w:type="dxa"/>
          </w:tcPr>
          <w:p w14:paraId="509B527B">
            <w:pPr>
              <w:jc w:val="center"/>
              <w:rPr>
                <w:bCs/>
              </w:rPr>
            </w:pPr>
            <w:r>
              <w:rPr>
                <w:bCs/>
              </w:rPr>
              <w:t>487,3</w:t>
            </w:r>
          </w:p>
        </w:tc>
        <w:tc>
          <w:tcPr>
            <w:tcW w:w="1276" w:type="dxa"/>
          </w:tcPr>
          <w:p w14:paraId="71B80FE6">
            <w:pPr>
              <w:jc w:val="center"/>
              <w:rPr>
                <w:bCs/>
              </w:rPr>
            </w:pPr>
            <w:r>
              <w:rPr>
                <w:bCs/>
              </w:rPr>
              <w:t>-20,8</w:t>
            </w:r>
          </w:p>
        </w:tc>
        <w:tc>
          <w:tcPr>
            <w:tcW w:w="1276" w:type="dxa"/>
          </w:tcPr>
          <w:p w14:paraId="3D46D4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134" w:type="dxa"/>
          </w:tcPr>
          <w:p w14:paraId="61618BFC">
            <w:pPr>
              <w:jc w:val="center"/>
              <w:rPr>
                <w:bCs/>
              </w:rPr>
            </w:pPr>
            <w:r>
              <w:rPr>
                <w:bCs/>
              </w:rPr>
              <w:t>383,4</w:t>
            </w:r>
          </w:p>
        </w:tc>
        <w:tc>
          <w:tcPr>
            <w:tcW w:w="1134" w:type="dxa"/>
          </w:tcPr>
          <w:p w14:paraId="764430FD">
            <w:pPr>
              <w:jc w:val="center"/>
              <w:rPr>
                <w:bCs/>
              </w:rPr>
            </w:pPr>
            <w:r>
              <w:rPr>
                <w:bCs/>
              </w:rPr>
              <w:t>-18,57</w:t>
            </w:r>
          </w:p>
        </w:tc>
        <w:tc>
          <w:tcPr>
            <w:tcW w:w="1189" w:type="dxa"/>
          </w:tcPr>
          <w:p w14:paraId="311850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002" w:type="dxa"/>
          </w:tcPr>
          <w:p w14:paraId="0CC4AD9D">
            <w:pPr>
              <w:jc w:val="center"/>
              <w:rPr>
                <w:bCs/>
              </w:rPr>
            </w:pPr>
            <w:r>
              <w:rPr>
                <w:bCs/>
              </w:rPr>
              <w:t>414,9</w:t>
            </w:r>
          </w:p>
        </w:tc>
        <w:tc>
          <w:tcPr>
            <w:tcW w:w="1185" w:type="dxa"/>
          </w:tcPr>
          <w:p w14:paraId="7045292A">
            <w:pPr>
              <w:jc w:val="center"/>
              <w:rPr>
                <w:bCs/>
              </w:rPr>
            </w:pPr>
            <w:r>
              <w:rPr>
                <w:bCs/>
              </w:rPr>
              <w:t>-15,1</w:t>
            </w:r>
          </w:p>
        </w:tc>
        <w:tc>
          <w:tcPr>
            <w:tcW w:w="1439" w:type="dxa"/>
          </w:tcPr>
          <w:p w14:paraId="284914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</w:tr>
      <w:tr w14:paraId="7878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70E75FA0">
            <w:pPr>
              <w:spacing w:line="240" w:lineRule="exact"/>
              <w:jc w:val="both"/>
            </w:pPr>
            <w:r>
              <w:t>новообразования населения 18 лет и старше</w:t>
            </w:r>
          </w:p>
        </w:tc>
        <w:tc>
          <w:tcPr>
            <w:tcW w:w="1275" w:type="dxa"/>
          </w:tcPr>
          <w:p w14:paraId="774C7D2D">
            <w:pPr>
              <w:jc w:val="center"/>
              <w:rPr>
                <w:bCs/>
              </w:rPr>
            </w:pPr>
            <w:r>
              <w:rPr>
                <w:bCs/>
              </w:rPr>
              <w:t>6,4</w:t>
            </w:r>
          </w:p>
        </w:tc>
        <w:tc>
          <w:tcPr>
            <w:tcW w:w="1276" w:type="dxa"/>
          </w:tcPr>
          <w:p w14:paraId="4C6B1185">
            <w:pPr>
              <w:jc w:val="center"/>
              <w:rPr>
                <w:bCs/>
              </w:rPr>
            </w:pPr>
            <w:r>
              <w:rPr>
                <w:bCs/>
              </w:rPr>
              <w:t>-4,2</w:t>
            </w:r>
          </w:p>
        </w:tc>
        <w:tc>
          <w:tcPr>
            <w:tcW w:w="1276" w:type="dxa"/>
          </w:tcPr>
          <w:p w14:paraId="428C03F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умеренное ↓</w:t>
            </w:r>
          </w:p>
        </w:tc>
        <w:tc>
          <w:tcPr>
            <w:tcW w:w="1134" w:type="dxa"/>
          </w:tcPr>
          <w:p w14:paraId="1081F79A">
            <w:pPr>
              <w:jc w:val="center"/>
              <w:rPr>
                <w:bCs/>
              </w:rPr>
            </w:pPr>
            <w:r>
              <w:rPr>
                <w:bCs/>
              </w:rPr>
              <w:t>4,3</w:t>
            </w:r>
          </w:p>
        </w:tc>
        <w:tc>
          <w:tcPr>
            <w:tcW w:w="1134" w:type="dxa"/>
          </w:tcPr>
          <w:p w14:paraId="650477A1">
            <w:pPr>
              <w:jc w:val="center"/>
              <w:rPr>
                <w:bCs/>
              </w:rPr>
            </w:pPr>
            <w:r>
              <w:rPr>
                <w:bCs/>
              </w:rPr>
              <w:t>-7,1</w:t>
            </w:r>
          </w:p>
        </w:tc>
        <w:tc>
          <w:tcPr>
            <w:tcW w:w="1189" w:type="dxa"/>
          </w:tcPr>
          <w:p w14:paraId="776E4D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умеренное ↓</w:t>
            </w:r>
          </w:p>
        </w:tc>
        <w:tc>
          <w:tcPr>
            <w:tcW w:w="1002" w:type="dxa"/>
          </w:tcPr>
          <w:p w14:paraId="5DA11F6A">
            <w:pPr>
              <w:jc w:val="center"/>
              <w:rPr>
                <w:bCs/>
              </w:rPr>
            </w:pPr>
            <w:r>
              <w:rPr>
                <w:bCs/>
              </w:rPr>
              <w:t>12,2</w:t>
            </w:r>
          </w:p>
        </w:tc>
        <w:tc>
          <w:tcPr>
            <w:tcW w:w="1185" w:type="dxa"/>
          </w:tcPr>
          <w:p w14:paraId="093F0A97">
            <w:pPr>
              <w:jc w:val="center"/>
              <w:rPr>
                <w:bCs/>
              </w:rPr>
            </w:pPr>
            <w:r>
              <w:rPr>
                <w:bCs/>
              </w:rPr>
              <w:t>+0,2</w:t>
            </w:r>
          </w:p>
        </w:tc>
        <w:tc>
          <w:tcPr>
            <w:tcW w:w="1439" w:type="dxa"/>
          </w:tcPr>
          <w:p w14:paraId="5285F7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</w:tr>
      <w:tr w14:paraId="734B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4CF7BEC1">
            <w:pPr>
              <w:spacing w:line="240" w:lineRule="exact"/>
              <w:jc w:val="both"/>
            </w:pPr>
            <w:r>
              <w:t>болезни системы кровообращения (БСК) населения 18 лет и старше</w:t>
            </w:r>
          </w:p>
        </w:tc>
        <w:tc>
          <w:tcPr>
            <w:tcW w:w="1275" w:type="dxa"/>
          </w:tcPr>
          <w:p w14:paraId="575DC6DB">
            <w:pPr>
              <w:jc w:val="center"/>
              <w:rPr>
                <w:bCs/>
              </w:rPr>
            </w:pPr>
            <w:r>
              <w:rPr>
                <w:bCs/>
              </w:rPr>
              <w:t>34,9</w:t>
            </w:r>
          </w:p>
        </w:tc>
        <w:tc>
          <w:tcPr>
            <w:tcW w:w="1276" w:type="dxa"/>
          </w:tcPr>
          <w:p w14:paraId="43A2AA1B">
            <w:pPr>
              <w:jc w:val="center"/>
              <w:rPr>
                <w:bCs/>
              </w:rPr>
            </w:pPr>
            <w:r>
              <w:rPr>
                <w:bCs/>
              </w:rPr>
              <w:t>-1,87</w:t>
            </w:r>
          </w:p>
        </w:tc>
        <w:tc>
          <w:tcPr>
            <w:tcW w:w="1276" w:type="dxa"/>
          </w:tcPr>
          <w:p w14:paraId="5264B2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134" w:type="dxa"/>
          </w:tcPr>
          <w:p w14:paraId="7C2F8993">
            <w:pPr>
              <w:jc w:val="center"/>
              <w:rPr>
                <w:bCs/>
              </w:rPr>
            </w:pPr>
            <w:r>
              <w:rPr>
                <w:bCs/>
              </w:rPr>
              <w:t>19,5</w:t>
            </w:r>
          </w:p>
        </w:tc>
        <w:tc>
          <w:tcPr>
            <w:tcW w:w="1134" w:type="dxa"/>
          </w:tcPr>
          <w:p w14:paraId="46BDC7CF">
            <w:pPr>
              <w:jc w:val="center"/>
              <w:rPr>
                <w:bCs/>
              </w:rPr>
            </w:pPr>
            <w:r>
              <w:rPr>
                <w:bCs/>
              </w:rPr>
              <w:t>-34,8</w:t>
            </w:r>
          </w:p>
        </w:tc>
        <w:tc>
          <w:tcPr>
            <w:tcW w:w="1189" w:type="dxa"/>
          </w:tcPr>
          <w:p w14:paraId="79A73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002" w:type="dxa"/>
          </w:tcPr>
          <w:p w14:paraId="1DF60872">
            <w:pPr>
              <w:jc w:val="center"/>
              <w:rPr>
                <w:bCs/>
              </w:rPr>
            </w:pPr>
            <w:r>
              <w:rPr>
                <w:bCs/>
              </w:rPr>
              <w:t>22,5</w:t>
            </w:r>
          </w:p>
        </w:tc>
        <w:tc>
          <w:tcPr>
            <w:tcW w:w="1185" w:type="dxa"/>
          </w:tcPr>
          <w:p w14:paraId="02AEAFB2">
            <w:pPr>
              <w:jc w:val="center"/>
              <w:rPr>
                <w:bCs/>
              </w:rPr>
            </w:pPr>
            <w:r>
              <w:rPr>
                <w:bCs/>
              </w:rPr>
              <w:t>-3,9</w:t>
            </w:r>
          </w:p>
        </w:tc>
        <w:tc>
          <w:tcPr>
            <w:tcW w:w="1439" w:type="dxa"/>
          </w:tcPr>
          <w:p w14:paraId="0296EE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</w:tr>
      <w:tr w14:paraId="63E2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24EFE3CF">
            <w:pPr>
              <w:spacing w:line="240" w:lineRule="exact"/>
              <w:jc w:val="both"/>
            </w:pPr>
            <w:r>
              <w:t>болезни органов дыхания (ХРЗ) населения 18 лет и старше</w:t>
            </w:r>
          </w:p>
        </w:tc>
        <w:tc>
          <w:tcPr>
            <w:tcW w:w="1275" w:type="dxa"/>
          </w:tcPr>
          <w:p w14:paraId="2203494D">
            <w:pPr>
              <w:jc w:val="center"/>
              <w:rPr>
                <w:bCs/>
              </w:rPr>
            </w:pPr>
            <w:r>
              <w:rPr>
                <w:bCs/>
              </w:rPr>
              <w:t>1,3</w:t>
            </w:r>
          </w:p>
        </w:tc>
        <w:tc>
          <w:tcPr>
            <w:tcW w:w="1276" w:type="dxa"/>
          </w:tcPr>
          <w:p w14:paraId="731FE54A">
            <w:pPr>
              <w:jc w:val="center"/>
              <w:rPr>
                <w:bCs/>
              </w:rPr>
            </w:pPr>
            <w:r>
              <w:rPr>
                <w:bCs/>
              </w:rPr>
              <w:t>-0,3</w:t>
            </w:r>
          </w:p>
        </w:tc>
        <w:tc>
          <w:tcPr>
            <w:tcW w:w="1276" w:type="dxa"/>
          </w:tcPr>
          <w:p w14:paraId="29AC2B5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134" w:type="dxa"/>
          </w:tcPr>
          <w:p w14:paraId="4D067766">
            <w:pPr>
              <w:jc w:val="center"/>
              <w:rPr>
                <w:bCs/>
              </w:rPr>
            </w:pPr>
            <w:r>
              <w:rPr>
                <w:bCs/>
              </w:rPr>
              <w:t>4,4</w:t>
            </w:r>
          </w:p>
        </w:tc>
        <w:tc>
          <w:tcPr>
            <w:tcW w:w="1134" w:type="dxa"/>
          </w:tcPr>
          <w:p w14:paraId="0C1F6E02">
            <w:pPr>
              <w:jc w:val="center"/>
              <w:rPr>
                <w:bCs/>
              </w:rPr>
            </w:pPr>
            <w:r>
              <w:rPr>
                <w:bCs/>
              </w:rPr>
              <w:t>+2,4</w:t>
            </w:r>
          </w:p>
        </w:tc>
        <w:tc>
          <w:tcPr>
            <w:tcW w:w="1189" w:type="dxa"/>
          </w:tcPr>
          <w:p w14:paraId="2CCBF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002" w:type="dxa"/>
          </w:tcPr>
          <w:p w14:paraId="26C5452B">
            <w:pPr>
              <w:jc w:val="center"/>
              <w:rPr>
                <w:bCs/>
              </w:rPr>
            </w:pPr>
            <w:r>
              <w:rPr>
                <w:bCs/>
              </w:rPr>
              <w:t>1,6</w:t>
            </w:r>
          </w:p>
        </w:tc>
        <w:tc>
          <w:tcPr>
            <w:tcW w:w="1185" w:type="dxa"/>
          </w:tcPr>
          <w:p w14:paraId="78FB54AA">
            <w:pPr>
              <w:jc w:val="center"/>
              <w:rPr>
                <w:bCs/>
              </w:rPr>
            </w:pPr>
            <w:r>
              <w:rPr>
                <w:bCs/>
              </w:rPr>
              <w:t>-4,2</w:t>
            </w:r>
          </w:p>
        </w:tc>
        <w:tc>
          <w:tcPr>
            <w:tcW w:w="1439" w:type="dxa"/>
          </w:tcPr>
          <w:p w14:paraId="5CEBF9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умеренное ↓</w:t>
            </w:r>
          </w:p>
        </w:tc>
      </w:tr>
      <w:tr w14:paraId="29A9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7999648E">
            <w:pPr>
              <w:spacing w:line="240" w:lineRule="exact"/>
              <w:jc w:val="both"/>
            </w:pPr>
            <w:r>
              <w:t>травмы, отравления и др населения 18 лет и старше</w:t>
            </w:r>
          </w:p>
        </w:tc>
        <w:tc>
          <w:tcPr>
            <w:tcW w:w="1275" w:type="dxa"/>
          </w:tcPr>
          <w:p w14:paraId="0CB39A71">
            <w:pPr>
              <w:jc w:val="center"/>
              <w:rPr>
                <w:bCs/>
              </w:rPr>
            </w:pPr>
            <w:r>
              <w:rPr>
                <w:bCs/>
              </w:rPr>
              <w:t>39,7</w:t>
            </w:r>
          </w:p>
        </w:tc>
        <w:tc>
          <w:tcPr>
            <w:tcW w:w="1276" w:type="dxa"/>
          </w:tcPr>
          <w:p w14:paraId="6138A875">
            <w:pPr>
              <w:jc w:val="center"/>
              <w:rPr>
                <w:bCs/>
              </w:rPr>
            </w:pPr>
            <w:r>
              <w:rPr>
                <w:bCs/>
              </w:rPr>
              <w:t>+0,3</w:t>
            </w:r>
          </w:p>
        </w:tc>
        <w:tc>
          <w:tcPr>
            <w:tcW w:w="1276" w:type="dxa"/>
          </w:tcPr>
          <w:p w14:paraId="55A36E5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134" w:type="dxa"/>
          </w:tcPr>
          <w:p w14:paraId="79CBDCC8">
            <w:pPr>
              <w:jc w:val="center"/>
              <w:rPr>
                <w:bCs/>
              </w:rPr>
            </w:pPr>
            <w:r>
              <w:rPr>
                <w:bCs/>
              </w:rPr>
              <w:t>14,2</w:t>
            </w:r>
          </w:p>
        </w:tc>
        <w:tc>
          <w:tcPr>
            <w:tcW w:w="1134" w:type="dxa"/>
          </w:tcPr>
          <w:p w14:paraId="1CE1F02D">
            <w:pPr>
              <w:jc w:val="center"/>
              <w:rPr>
                <w:bCs/>
              </w:rPr>
            </w:pPr>
            <w:r>
              <w:rPr>
                <w:bCs/>
              </w:rPr>
              <w:t>-14,2</w:t>
            </w:r>
          </w:p>
        </w:tc>
        <w:tc>
          <w:tcPr>
            <w:tcW w:w="1189" w:type="dxa"/>
          </w:tcPr>
          <w:p w14:paraId="22C7AA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002" w:type="dxa"/>
          </w:tcPr>
          <w:p w14:paraId="60D9DED7">
            <w:pPr>
              <w:jc w:val="center"/>
              <w:rPr>
                <w:bCs/>
              </w:rPr>
            </w:pPr>
            <w:r>
              <w:rPr>
                <w:bCs/>
              </w:rPr>
              <w:t>12,2</w:t>
            </w:r>
          </w:p>
        </w:tc>
        <w:tc>
          <w:tcPr>
            <w:tcW w:w="1185" w:type="dxa"/>
          </w:tcPr>
          <w:p w14:paraId="2146B64C">
            <w:pPr>
              <w:jc w:val="center"/>
              <w:rPr>
                <w:bCs/>
              </w:rPr>
            </w:pPr>
            <w:r>
              <w:rPr>
                <w:bCs/>
              </w:rPr>
              <w:t>-0,8</w:t>
            </w:r>
          </w:p>
        </w:tc>
        <w:tc>
          <w:tcPr>
            <w:tcW w:w="1439" w:type="dxa"/>
          </w:tcPr>
          <w:p w14:paraId="30CC53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</w:tr>
      <w:tr w14:paraId="5480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</w:trPr>
        <w:tc>
          <w:tcPr>
            <w:tcW w:w="14166" w:type="dxa"/>
            <w:gridSpan w:val="10"/>
          </w:tcPr>
          <w:p w14:paraId="682AFEDD">
            <w:pPr>
              <w:jc w:val="center"/>
              <w:rPr>
                <w:bCs/>
                <w:color w:val="B9CDE5" w:themeColor="accent1" w:themeTint="66"/>
                <w:sz w:val="18"/>
                <w:szCs w:val="18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</w:p>
        </w:tc>
      </w:tr>
      <w:tr w14:paraId="7A85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  <w:vMerge w:val="restart"/>
          </w:tcPr>
          <w:p w14:paraId="5A9C381A">
            <w:pPr>
              <w:spacing w:line="240" w:lineRule="exact"/>
              <w:jc w:val="both"/>
            </w:pPr>
          </w:p>
        </w:tc>
        <w:tc>
          <w:tcPr>
            <w:tcW w:w="3827" w:type="dxa"/>
            <w:gridSpan w:val="3"/>
          </w:tcPr>
          <w:p w14:paraId="36211B7B">
            <w:pPr>
              <w:jc w:val="center"/>
              <w:rPr>
                <w:bCs/>
              </w:rPr>
            </w:pPr>
            <w:r>
              <w:rPr>
                <w:bCs/>
              </w:rPr>
              <w:t>Богушевская ВА</w:t>
            </w:r>
          </w:p>
          <w:p w14:paraId="2F2815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57" w:type="dxa"/>
            <w:gridSpan w:val="3"/>
          </w:tcPr>
          <w:p w14:paraId="2FDEE4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</w:rPr>
              <w:t>Яновская ВА</w:t>
            </w:r>
          </w:p>
        </w:tc>
        <w:tc>
          <w:tcPr>
            <w:tcW w:w="3626" w:type="dxa"/>
            <w:gridSpan w:val="3"/>
          </w:tcPr>
          <w:p w14:paraId="14E043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</w:rPr>
              <w:t>Белицкая ВА</w:t>
            </w:r>
          </w:p>
        </w:tc>
      </w:tr>
      <w:tr w14:paraId="34B1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  <w:vMerge w:val="continue"/>
          </w:tcPr>
          <w:p w14:paraId="7A14C258">
            <w:pPr>
              <w:spacing w:line="240" w:lineRule="exact"/>
              <w:jc w:val="both"/>
            </w:pPr>
          </w:p>
        </w:tc>
        <w:tc>
          <w:tcPr>
            <w:tcW w:w="1275" w:type="dxa"/>
          </w:tcPr>
          <w:p w14:paraId="0970A72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Срг. </w:t>
            </w:r>
          </w:p>
          <w:p w14:paraId="41CA30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показатель*, ‰</w:t>
            </w:r>
          </w:p>
        </w:tc>
        <w:tc>
          <w:tcPr>
            <w:tcW w:w="1276" w:type="dxa"/>
          </w:tcPr>
          <w:p w14:paraId="397D03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Тсрг.пр.* ,%</w:t>
            </w:r>
          </w:p>
          <w:p w14:paraId="04C2F9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(2020-2024)</w:t>
            </w:r>
          </w:p>
        </w:tc>
        <w:tc>
          <w:tcPr>
            <w:tcW w:w="1276" w:type="dxa"/>
          </w:tcPr>
          <w:p w14:paraId="46F0D03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</w:t>
            </w:r>
          </w:p>
        </w:tc>
        <w:tc>
          <w:tcPr>
            <w:tcW w:w="1134" w:type="dxa"/>
          </w:tcPr>
          <w:p w14:paraId="1F719A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Срг. </w:t>
            </w:r>
          </w:p>
          <w:p w14:paraId="643032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показатель*, ‰</w:t>
            </w:r>
          </w:p>
        </w:tc>
        <w:tc>
          <w:tcPr>
            <w:tcW w:w="1134" w:type="dxa"/>
          </w:tcPr>
          <w:p w14:paraId="1DEC7E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Тсрг.пр.* ,%</w:t>
            </w:r>
          </w:p>
          <w:p w14:paraId="281BA3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(2020-2024)</w:t>
            </w:r>
          </w:p>
        </w:tc>
        <w:tc>
          <w:tcPr>
            <w:tcW w:w="1189" w:type="dxa"/>
          </w:tcPr>
          <w:p w14:paraId="475372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</w:t>
            </w:r>
          </w:p>
        </w:tc>
        <w:tc>
          <w:tcPr>
            <w:tcW w:w="1002" w:type="dxa"/>
          </w:tcPr>
          <w:p w14:paraId="6752AF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Срг. </w:t>
            </w:r>
          </w:p>
          <w:p w14:paraId="6A147E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показатель*, ‰</w:t>
            </w:r>
          </w:p>
        </w:tc>
        <w:tc>
          <w:tcPr>
            <w:tcW w:w="1185" w:type="dxa"/>
          </w:tcPr>
          <w:p w14:paraId="3EC179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Тсрг.пр.* ,%</w:t>
            </w:r>
          </w:p>
          <w:p w14:paraId="2F56BF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(2020-2024)</w:t>
            </w:r>
          </w:p>
        </w:tc>
        <w:tc>
          <w:tcPr>
            <w:tcW w:w="1439" w:type="dxa"/>
          </w:tcPr>
          <w:p w14:paraId="2DEE940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</w:t>
            </w:r>
          </w:p>
        </w:tc>
      </w:tr>
      <w:tr w14:paraId="17C3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1C1C4338">
            <w:pPr>
              <w:spacing w:line="240" w:lineRule="exact"/>
              <w:jc w:val="both"/>
            </w:pPr>
            <w:r>
              <w:t>Первичная заболеваемость населения 18 лет и                                     старше</w:t>
            </w:r>
          </w:p>
        </w:tc>
        <w:tc>
          <w:tcPr>
            <w:tcW w:w="1275" w:type="dxa"/>
          </w:tcPr>
          <w:p w14:paraId="034B82D4">
            <w:pPr>
              <w:jc w:val="center"/>
              <w:rPr>
                <w:bCs/>
              </w:rPr>
            </w:pPr>
            <w:r>
              <w:rPr>
                <w:bCs/>
              </w:rPr>
              <w:t>180,0</w:t>
            </w:r>
          </w:p>
        </w:tc>
        <w:tc>
          <w:tcPr>
            <w:tcW w:w="1276" w:type="dxa"/>
          </w:tcPr>
          <w:p w14:paraId="02E6BD6F">
            <w:pPr>
              <w:jc w:val="center"/>
              <w:rPr>
                <w:bCs/>
              </w:rPr>
            </w:pPr>
            <w:r>
              <w:rPr>
                <w:bCs/>
              </w:rPr>
              <w:t>-14,4</w:t>
            </w:r>
          </w:p>
        </w:tc>
        <w:tc>
          <w:tcPr>
            <w:tcW w:w="1276" w:type="dxa"/>
          </w:tcPr>
          <w:p w14:paraId="68FE0A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134" w:type="dxa"/>
          </w:tcPr>
          <w:p w14:paraId="74E832D6">
            <w:pPr>
              <w:jc w:val="center"/>
              <w:rPr>
                <w:bCs/>
              </w:rPr>
            </w:pPr>
            <w:r>
              <w:rPr>
                <w:bCs/>
              </w:rPr>
              <w:t>312,6</w:t>
            </w:r>
          </w:p>
        </w:tc>
        <w:tc>
          <w:tcPr>
            <w:tcW w:w="1134" w:type="dxa"/>
          </w:tcPr>
          <w:p w14:paraId="0AF32FF6">
            <w:pPr>
              <w:jc w:val="center"/>
              <w:rPr>
                <w:bCs/>
              </w:rPr>
            </w:pPr>
            <w:r>
              <w:rPr>
                <w:bCs/>
              </w:rPr>
              <w:t>-17,72</w:t>
            </w:r>
          </w:p>
        </w:tc>
        <w:tc>
          <w:tcPr>
            <w:tcW w:w="1189" w:type="dxa"/>
          </w:tcPr>
          <w:p w14:paraId="2E83995B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002" w:type="dxa"/>
          </w:tcPr>
          <w:p w14:paraId="099EF940">
            <w:pPr>
              <w:jc w:val="center"/>
              <w:rPr>
                <w:bCs/>
              </w:rPr>
            </w:pPr>
            <w:r>
              <w:rPr>
                <w:bCs/>
              </w:rPr>
              <w:t>224,5</w:t>
            </w:r>
          </w:p>
        </w:tc>
        <w:tc>
          <w:tcPr>
            <w:tcW w:w="1185" w:type="dxa"/>
          </w:tcPr>
          <w:p w14:paraId="32CCC0C7">
            <w:pPr>
              <w:jc w:val="center"/>
              <w:rPr>
                <w:bCs/>
              </w:rPr>
            </w:pPr>
            <w:r>
              <w:rPr>
                <w:bCs/>
              </w:rPr>
              <w:t>-4,14</w:t>
            </w:r>
          </w:p>
        </w:tc>
        <w:tc>
          <w:tcPr>
            <w:tcW w:w="1439" w:type="dxa"/>
          </w:tcPr>
          <w:p w14:paraId="740C526E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</w:tr>
      <w:tr w14:paraId="1F44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3670AD26">
            <w:pPr>
              <w:spacing w:line="240" w:lineRule="exact"/>
              <w:jc w:val="both"/>
            </w:pPr>
            <w:r>
              <w:t>новообразования населения 18 лет и старше</w:t>
            </w:r>
          </w:p>
        </w:tc>
        <w:tc>
          <w:tcPr>
            <w:tcW w:w="1275" w:type="dxa"/>
          </w:tcPr>
          <w:p w14:paraId="1BAF5297">
            <w:pPr>
              <w:jc w:val="center"/>
              <w:rPr>
                <w:bCs/>
              </w:rPr>
            </w:pPr>
            <w:r>
              <w:rPr>
                <w:bCs/>
              </w:rPr>
              <w:t>5,6</w:t>
            </w:r>
          </w:p>
        </w:tc>
        <w:tc>
          <w:tcPr>
            <w:tcW w:w="1276" w:type="dxa"/>
          </w:tcPr>
          <w:p w14:paraId="30001EC8">
            <w:pPr>
              <w:jc w:val="center"/>
              <w:rPr>
                <w:bCs/>
              </w:rPr>
            </w:pPr>
            <w:r>
              <w:rPr>
                <w:bCs/>
              </w:rPr>
              <w:t>-0,8</w:t>
            </w:r>
          </w:p>
        </w:tc>
        <w:tc>
          <w:tcPr>
            <w:tcW w:w="1276" w:type="dxa"/>
          </w:tcPr>
          <w:p w14:paraId="0FA9B3C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134" w:type="dxa"/>
          </w:tcPr>
          <w:p w14:paraId="7C6299F4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  <w:tc>
          <w:tcPr>
            <w:tcW w:w="1134" w:type="dxa"/>
          </w:tcPr>
          <w:p w14:paraId="6DB91C79">
            <w:pPr>
              <w:jc w:val="center"/>
              <w:rPr>
                <w:bCs/>
              </w:rPr>
            </w:pPr>
            <w:r>
              <w:rPr>
                <w:bCs/>
              </w:rPr>
              <w:t>-10,3</w:t>
            </w:r>
          </w:p>
        </w:tc>
        <w:tc>
          <w:tcPr>
            <w:tcW w:w="1189" w:type="dxa"/>
          </w:tcPr>
          <w:p w14:paraId="71865174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002" w:type="dxa"/>
          </w:tcPr>
          <w:p w14:paraId="48EFC6F3">
            <w:pPr>
              <w:jc w:val="center"/>
              <w:rPr>
                <w:bCs/>
              </w:rPr>
            </w:pPr>
            <w:r>
              <w:rPr>
                <w:bCs/>
              </w:rPr>
              <w:t>5,5</w:t>
            </w:r>
          </w:p>
        </w:tc>
        <w:tc>
          <w:tcPr>
            <w:tcW w:w="1185" w:type="dxa"/>
          </w:tcPr>
          <w:p w14:paraId="31B04334">
            <w:pPr>
              <w:jc w:val="center"/>
              <w:rPr>
                <w:bCs/>
              </w:rPr>
            </w:pPr>
            <w:r>
              <w:rPr>
                <w:bCs/>
              </w:rPr>
              <w:t>-15,3</w:t>
            </w:r>
          </w:p>
        </w:tc>
        <w:tc>
          <w:tcPr>
            <w:tcW w:w="1439" w:type="dxa"/>
          </w:tcPr>
          <w:p w14:paraId="520EDD15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умеренное ↓</w:t>
            </w:r>
          </w:p>
        </w:tc>
      </w:tr>
      <w:tr w14:paraId="238D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1C77146B">
            <w:pPr>
              <w:spacing w:line="240" w:lineRule="exact"/>
              <w:jc w:val="both"/>
            </w:pPr>
            <w:r>
              <w:t>болезни системы кровообращения (БСК) населения 18 лет и старше</w:t>
            </w:r>
          </w:p>
        </w:tc>
        <w:tc>
          <w:tcPr>
            <w:tcW w:w="1275" w:type="dxa"/>
          </w:tcPr>
          <w:p w14:paraId="1F571B53">
            <w:pPr>
              <w:jc w:val="center"/>
              <w:rPr>
                <w:bCs/>
              </w:rPr>
            </w:pPr>
            <w:r>
              <w:rPr>
                <w:bCs/>
              </w:rPr>
              <w:t>9,2</w:t>
            </w:r>
          </w:p>
        </w:tc>
        <w:tc>
          <w:tcPr>
            <w:tcW w:w="1276" w:type="dxa"/>
          </w:tcPr>
          <w:p w14:paraId="6BBFF972">
            <w:pPr>
              <w:jc w:val="center"/>
              <w:rPr>
                <w:bCs/>
              </w:rPr>
            </w:pPr>
            <w:r>
              <w:rPr>
                <w:bCs/>
              </w:rPr>
              <w:t>+9,0</w:t>
            </w:r>
          </w:p>
        </w:tc>
        <w:tc>
          <w:tcPr>
            <w:tcW w:w="1276" w:type="dxa"/>
          </w:tcPr>
          <w:p w14:paraId="3ED170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умеренное ↓</w:t>
            </w:r>
          </w:p>
        </w:tc>
        <w:tc>
          <w:tcPr>
            <w:tcW w:w="1134" w:type="dxa"/>
          </w:tcPr>
          <w:p w14:paraId="03D18E6A">
            <w:pPr>
              <w:jc w:val="center"/>
              <w:rPr>
                <w:bCs/>
              </w:rPr>
            </w:pPr>
            <w:r>
              <w:rPr>
                <w:bCs/>
              </w:rPr>
              <w:t>11,4</w:t>
            </w:r>
          </w:p>
        </w:tc>
        <w:tc>
          <w:tcPr>
            <w:tcW w:w="1134" w:type="dxa"/>
          </w:tcPr>
          <w:p w14:paraId="19512312">
            <w:pPr>
              <w:jc w:val="center"/>
              <w:rPr>
                <w:bCs/>
              </w:rPr>
            </w:pPr>
            <w:r>
              <w:rPr>
                <w:bCs/>
              </w:rPr>
              <w:t>-24,5</w:t>
            </w:r>
          </w:p>
        </w:tc>
        <w:tc>
          <w:tcPr>
            <w:tcW w:w="1189" w:type="dxa"/>
          </w:tcPr>
          <w:p w14:paraId="58BB239B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002" w:type="dxa"/>
          </w:tcPr>
          <w:p w14:paraId="1E51E8BF">
            <w:pPr>
              <w:jc w:val="center"/>
              <w:rPr>
                <w:bCs/>
              </w:rPr>
            </w:pPr>
            <w:r>
              <w:rPr>
                <w:bCs/>
              </w:rPr>
              <w:t>9,2</w:t>
            </w:r>
          </w:p>
        </w:tc>
        <w:tc>
          <w:tcPr>
            <w:tcW w:w="1185" w:type="dxa"/>
          </w:tcPr>
          <w:p w14:paraId="475AAF65">
            <w:pPr>
              <w:jc w:val="center"/>
              <w:rPr>
                <w:bCs/>
              </w:rPr>
            </w:pPr>
            <w:r>
              <w:rPr>
                <w:bCs/>
              </w:rPr>
              <w:t>+9,9</w:t>
            </w:r>
          </w:p>
        </w:tc>
        <w:tc>
          <w:tcPr>
            <w:tcW w:w="1439" w:type="dxa"/>
          </w:tcPr>
          <w:p w14:paraId="7D077E85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выраженный ↑</w:t>
            </w:r>
          </w:p>
        </w:tc>
      </w:tr>
      <w:tr w14:paraId="0B7B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0BC3C18E">
            <w:pPr>
              <w:spacing w:line="240" w:lineRule="exact"/>
              <w:jc w:val="both"/>
            </w:pPr>
            <w:r>
              <w:t>болезни органов дыхания (ХРЗ) населения 18 лет и старше</w:t>
            </w:r>
          </w:p>
        </w:tc>
        <w:tc>
          <w:tcPr>
            <w:tcW w:w="1275" w:type="dxa"/>
          </w:tcPr>
          <w:p w14:paraId="6FE50B19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1276" w:type="dxa"/>
          </w:tcPr>
          <w:p w14:paraId="40E7A5DC">
            <w:pPr>
              <w:jc w:val="center"/>
              <w:rPr>
                <w:bCs/>
              </w:rPr>
            </w:pPr>
            <w:r>
              <w:rPr>
                <w:bCs/>
              </w:rPr>
              <w:t>-20,1</w:t>
            </w:r>
          </w:p>
        </w:tc>
        <w:tc>
          <w:tcPr>
            <w:tcW w:w="1276" w:type="dxa"/>
          </w:tcPr>
          <w:p w14:paraId="11D2B26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умеренное ↓</w:t>
            </w:r>
          </w:p>
        </w:tc>
        <w:tc>
          <w:tcPr>
            <w:tcW w:w="1134" w:type="dxa"/>
          </w:tcPr>
          <w:p w14:paraId="5B13E0B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14:paraId="24A042D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9" w:type="dxa"/>
          </w:tcPr>
          <w:p w14:paraId="33301535">
            <w:pPr>
              <w:jc w:val="center"/>
              <w:rPr>
                <w:bCs/>
              </w:rPr>
            </w:pPr>
          </w:p>
        </w:tc>
        <w:tc>
          <w:tcPr>
            <w:tcW w:w="1002" w:type="dxa"/>
          </w:tcPr>
          <w:p w14:paraId="56AA5E74">
            <w:pPr>
              <w:jc w:val="center"/>
              <w:rPr>
                <w:bCs/>
              </w:rPr>
            </w:pPr>
            <w:r>
              <w:rPr>
                <w:bCs/>
              </w:rPr>
              <w:t>1,1</w:t>
            </w:r>
          </w:p>
        </w:tc>
        <w:tc>
          <w:tcPr>
            <w:tcW w:w="1185" w:type="dxa"/>
          </w:tcPr>
          <w:p w14:paraId="60F67DED">
            <w:pPr>
              <w:jc w:val="center"/>
              <w:rPr>
                <w:bCs/>
              </w:rPr>
            </w:pPr>
            <w:r>
              <w:rPr>
                <w:bCs/>
              </w:rPr>
              <w:t>-1,9</w:t>
            </w:r>
          </w:p>
        </w:tc>
        <w:tc>
          <w:tcPr>
            <w:tcW w:w="1439" w:type="dxa"/>
          </w:tcPr>
          <w:p w14:paraId="6B49DB9D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</w:tr>
      <w:tr w14:paraId="5A1D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256" w:type="dxa"/>
          </w:tcPr>
          <w:p w14:paraId="0B9B194A">
            <w:pPr>
              <w:spacing w:line="240" w:lineRule="exact"/>
              <w:jc w:val="both"/>
            </w:pPr>
            <w:r>
              <w:t>травмы, отравления и др населения 18 лет и старше</w:t>
            </w:r>
          </w:p>
        </w:tc>
        <w:tc>
          <w:tcPr>
            <w:tcW w:w="1275" w:type="dxa"/>
          </w:tcPr>
          <w:p w14:paraId="5825D5FE">
            <w:pPr>
              <w:jc w:val="center"/>
              <w:rPr>
                <w:bCs/>
              </w:rPr>
            </w:pPr>
            <w:r>
              <w:rPr>
                <w:bCs/>
              </w:rPr>
              <w:t>51,1</w:t>
            </w:r>
          </w:p>
        </w:tc>
        <w:tc>
          <w:tcPr>
            <w:tcW w:w="1276" w:type="dxa"/>
          </w:tcPr>
          <w:p w14:paraId="3E8F4E43">
            <w:pPr>
              <w:jc w:val="center"/>
              <w:rPr>
                <w:bCs/>
              </w:rPr>
            </w:pPr>
            <w:r>
              <w:rPr>
                <w:bCs/>
              </w:rPr>
              <w:t>+1,1</w:t>
            </w:r>
          </w:p>
        </w:tc>
        <w:tc>
          <w:tcPr>
            <w:tcW w:w="1276" w:type="dxa"/>
          </w:tcPr>
          <w:p w14:paraId="1ABA23C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134" w:type="dxa"/>
          </w:tcPr>
          <w:p w14:paraId="71FB4F0C">
            <w:pPr>
              <w:jc w:val="center"/>
              <w:rPr>
                <w:bCs/>
              </w:rPr>
            </w:pPr>
            <w:r>
              <w:rPr>
                <w:bCs/>
              </w:rPr>
              <w:t>5,4</w:t>
            </w:r>
          </w:p>
        </w:tc>
        <w:tc>
          <w:tcPr>
            <w:tcW w:w="1134" w:type="dxa"/>
          </w:tcPr>
          <w:p w14:paraId="511483AF">
            <w:pPr>
              <w:jc w:val="center"/>
              <w:rPr>
                <w:bCs/>
              </w:rPr>
            </w:pPr>
            <w:r>
              <w:rPr>
                <w:bCs/>
              </w:rPr>
              <w:t>-6,8</w:t>
            </w:r>
          </w:p>
        </w:tc>
        <w:tc>
          <w:tcPr>
            <w:tcW w:w="1189" w:type="dxa"/>
          </w:tcPr>
          <w:p w14:paraId="1B0CA206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  <w:tc>
          <w:tcPr>
            <w:tcW w:w="1002" w:type="dxa"/>
          </w:tcPr>
          <w:p w14:paraId="4EB084AA">
            <w:pPr>
              <w:jc w:val="center"/>
              <w:rPr>
                <w:bCs/>
              </w:rPr>
            </w:pPr>
            <w:r>
              <w:rPr>
                <w:bCs/>
              </w:rPr>
              <w:t>10,2</w:t>
            </w:r>
          </w:p>
        </w:tc>
        <w:tc>
          <w:tcPr>
            <w:tcW w:w="1185" w:type="dxa"/>
          </w:tcPr>
          <w:p w14:paraId="64DE4858">
            <w:pPr>
              <w:jc w:val="center"/>
              <w:rPr>
                <w:bCs/>
              </w:rPr>
            </w:pPr>
            <w:r>
              <w:rPr>
                <w:bCs/>
              </w:rPr>
              <w:t>-5,3</w:t>
            </w:r>
          </w:p>
        </w:tc>
        <w:tc>
          <w:tcPr>
            <w:tcW w:w="1439" w:type="dxa"/>
          </w:tcPr>
          <w:p w14:paraId="3E8A48F6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динамика не устойчивая</w:t>
            </w:r>
          </w:p>
        </w:tc>
      </w:tr>
      <w:bookmarkEnd w:id="1"/>
    </w:tbl>
    <w:p w14:paraId="4283BB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Качество среды обитания по гигиеническим параметрам безопасности для здоровья населения</w:t>
      </w:r>
    </w:p>
    <w:p w14:paraId="52B53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Контроль за оборотом продовольственных и непродовольственных товаров</w:t>
      </w:r>
      <w:r>
        <w:rPr>
          <w:sz w:val="28"/>
          <w:szCs w:val="28"/>
        </w:rPr>
        <w:t>. В процессе реализации мероприятий Комплекса мер по защите внутреннего рынка в 2024 годах на территории Сенненского района осуществлялся контроль за применением и реализацией химических и биологических веществ, материалов и изделий из них, товаров для личных нужд (детские товары и игрушки, одежда, парфюмерно-косметическая продукция, предметы личной гигиены, синтетические моющие средства и др.).</w:t>
      </w:r>
    </w:p>
    <w:p w14:paraId="0D00D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мероприятий технического (технологического, поверочного) характера лабораторно исследовано 60 </w:t>
      </w:r>
      <w:r>
        <w:rPr>
          <w:i/>
          <w:iCs/>
          <w:sz w:val="28"/>
          <w:szCs w:val="28"/>
        </w:rPr>
        <w:t>проб пищевых продуктов и продовольственного сырья</w:t>
      </w:r>
      <w:r>
        <w:rPr>
          <w:sz w:val="28"/>
          <w:szCs w:val="28"/>
        </w:rPr>
        <w:t xml:space="preserve">, в том числе 50 (83,3%) - пробы импортного производства.  По результатам лабораторных исследований 4 пробы не соответствовали ТНПА. По фактам выявленных нарушений   вынесены предписания (предложения) о приостановлении (запрете) деятельности (эксплуатации) объектов. Для информирования и принятия мер реагирования направлено 6 материалов в территориальные органы исполнительной власти и заинтересованные ведомства.  </w:t>
      </w:r>
    </w:p>
    <w:p w14:paraId="746105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реализации </w:t>
      </w:r>
      <w:r>
        <w:rPr>
          <w:i/>
          <w:iCs/>
          <w:color w:val="000000"/>
          <w:sz w:val="28"/>
          <w:szCs w:val="28"/>
        </w:rPr>
        <w:t>непродовольственной группы товаров</w:t>
      </w:r>
      <w:r>
        <w:rPr>
          <w:color w:val="000000"/>
          <w:sz w:val="28"/>
          <w:szCs w:val="28"/>
        </w:rPr>
        <w:t xml:space="preserve"> по вопросам соблюдения безопасности надзорными мероприятиями охвачено 9 субъектов хозяйствования, нарушений не выявлено. Отобрано и лабораторно исследовано 14 проб (образцов) продукции, из них 100% импортного производства. Одна проба   не соответствовала ТНПА.</w:t>
      </w:r>
    </w:p>
    <w:p w14:paraId="4910D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Надзорными мероприятиями охвачено 7 субъектов хозяйствования, реализующих </w:t>
      </w:r>
      <w:r>
        <w:rPr>
          <w:i/>
          <w:iCs/>
          <w:sz w:val="28"/>
          <w:szCs w:val="28"/>
        </w:rPr>
        <w:t>продукцию, предназначенную для детей и подростков (в т.ч. игрушки)</w:t>
      </w:r>
      <w:r>
        <w:rPr>
          <w:sz w:val="28"/>
          <w:szCs w:val="28"/>
        </w:rPr>
        <w:t xml:space="preserve">. Всего исследовано 8 образцов товаров детского ассортимента иностранного производства. По результатам лабораторных исследований все пробы соответствовали гигиеническим нормативам по санитарно-химическим и микробиологическим показателям. </w:t>
      </w:r>
    </w:p>
    <w:p w14:paraId="27131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фактам выявленных в ходе надзорной деятельности нарушений выдано 1 предписание (рекомендация) об устранении нарушений. </w:t>
      </w:r>
    </w:p>
    <w:p w14:paraId="23A13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вопросам качества и безопасности реализуемых товаров размещается в средствах массовой информации, на официальном сайте ГУ «Сенненский РЦГЭ». </w:t>
      </w:r>
    </w:p>
    <w:p w14:paraId="7BC20E86">
      <w:pPr>
        <w:ind w:firstLine="709"/>
        <w:jc w:val="both"/>
        <w:rPr>
          <w:sz w:val="28"/>
          <w:szCs w:val="28"/>
        </w:rPr>
      </w:pPr>
    </w:p>
    <w:p w14:paraId="5EB42A8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2.2.1 Физические факторы окружающей среды</w:t>
      </w:r>
    </w:p>
    <w:p w14:paraId="40CF929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2024 году   продолжена работа по оценке источников неблагоприятных физических факторов в городе, поселке городского типа, сельских населенных пунктах Сенненского района.</w:t>
      </w:r>
    </w:p>
    <w:p w14:paraId="7636C09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Превышений гигиенических нормативов по шуму на протяжении периода 2015-2024 годов не выявлено. Замеры уровней вибрации в районе в 2015-2025 гг. не проводились. </w:t>
      </w:r>
    </w:p>
    <w:p w14:paraId="2D87E4C8">
      <w:pPr>
        <w:tabs>
          <w:tab w:val="left" w:pos="720"/>
          <w:tab w:val="left" w:pos="900"/>
          <w:tab w:val="left" w:pos="12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Замеры электромагнитных излучений в населенных пунктах района проводятся при работе радиолокационных станций и на прочих объектах, превышений гигиенических нормативов на протяжении   2015-2024 годов не выявлено.</w:t>
      </w:r>
    </w:p>
    <w:p w14:paraId="5160AAD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2.2.2 Радиационный контроль</w:t>
      </w:r>
    </w:p>
    <w:p w14:paraId="0486E05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порядке госсаннадзора и радиационно-гигиенического мониторинга проводятся радиохимические, спектрометрические, радиометрические исследования пищевых продуктов, продовольственного сырья, питьевой воды, лекарственно-технического сырья на содержание радионуклидов цезия-137 и стронция-90; объектов внешней среды – на цезий-137 и ЕРН, питьевой воды на α, β – активность.</w:t>
      </w:r>
    </w:p>
    <w:p w14:paraId="5D1ADFD7">
      <w:pPr>
        <w:tabs>
          <w:tab w:val="left" w:pos="10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 2013-2024 годы проведено исследование 33 проб питьевой воды, 28 проб пищевых продуктов на содержания цезия-137. В течение анализируемого периода проб с превышением ДУ содержания цезия-137 не обнаружено.</w:t>
      </w:r>
    </w:p>
    <w:p w14:paraId="6B0A20C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2.2.3 Характеристика состояния почвы</w:t>
      </w:r>
    </w:p>
    <w:p w14:paraId="7E98852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Сенненском районе оценка степени загрязнения почв проводится на основании лабораторных исследований проб, отбираемых в </w:t>
      </w:r>
      <w:r>
        <w:rPr>
          <w:sz w:val="28"/>
          <w:szCs w:val="28"/>
        </w:rPr>
        <w:t>селитебной зоне,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 т.ч. на территории детских учреждений,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на территории промышленных предприятий,</w:t>
      </w:r>
      <w:r>
        <w:rPr>
          <w:rFonts w:eastAsia="Calibri"/>
          <w:sz w:val="28"/>
          <w:szCs w:val="28"/>
        </w:rPr>
        <w:t xml:space="preserve"> вдоль транспортных дорог с интенсивным движением, а также в местах выращивания сельскохозяйственной продукции. Всего исследовано 8 проб, несоответствий не выявлено.</w:t>
      </w:r>
    </w:p>
    <w:p w14:paraId="3C3903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EF87F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2.2.4 Хозяйственно-питьевое водоснабжения</w:t>
      </w:r>
    </w:p>
    <w:p w14:paraId="3743131C">
      <w:pPr>
        <w:ind w:firstLine="709"/>
        <w:jc w:val="both"/>
        <w:rPr>
          <w:iCs/>
          <w:sz w:val="28"/>
          <w:szCs w:val="28"/>
        </w:rPr>
      </w:pPr>
      <w:bookmarkStart w:id="3" w:name="_Hlk177138938"/>
      <w:r>
        <w:rPr>
          <w:iCs/>
          <w:sz w:val="28"/>
          <w:szCs w:val="28"/>
        </w:rPr>
        <w:t xml:space="preserve">Для питьевого водоснабжения в Сенненском районе используются 266 подземных источников водоснабжения (скважин), 67 коммунальных и 93 ведомственных водопровода, 365 общественных шахтных колодцев. </w:t>
      </w:r>
    </w:p>
    <w:p w14:paraId="2340E2C1">
      <w:pPr>
        <w:ind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Обеспеченность населения питьевой водой из </w:t>
      </w:r>
      <w:r>
        <w:rPr>
          <w:iCs/>
          <w:sz w:val="28"/>
          <w:szCs w:val="28"/>
          <w:u w:val="single"/>
        </w:rPr>
        <w:t>централизованных систем водоснабжения</w:t>
      </w:r>
      <w:r>
        <w:rPr>
          <w:iCs/>
          <w:sz w:val="28"/>
          <w:szCs w:val="28"/>
        </w:rPr>
        <w:t xml:space="preserve"> на конец 2024 года составила 85,1% (в 2023 г. – 84,6%).  </w:t>
      </w:r>
      <w:r>
        <w:rPr>
          <w:bCs/>
          <w:sz w:val="28"/>
          <w:szCs w:val="28"/>
        </w:rPr>
        <w:t>Водопроводная сеть проложена из металлических труб и, как правило, длительная эксплуатация приводит к биокоррозийным процессам в трубопроводах. Колебания давления в сети, наличие тупиковых участков, являются причиной загрязнения воды при транспортировке потребителю.  Качество воды из подземных источников района характеризуется повышенным содержанием железа и составляет 0,3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2,3 мг/л, что обусловлено гидрогеологическими особенностями водоносных горизонтов. Для снижения содержания железа в воде на территории района оборудовано 14 станций обезжелезивания, требуется сооружение не менее 5станций. Станции обезжелезивания эксплуатируются в г. Сенно – 2 станции, г.п. Богушевск – 1 станция, по 1 – в а.г. Мошканы, а.г. Богданово, н.п. Цыпки, а.г. Ульяновичи, а.г. Синегорское, н.п. Ског, а.г. Белая Липа, н.п. Алексиничи, а.г. Ходцы, н.п. Пламя, а.г. Яново Разработана проектная документация на строительство в н.п. Новая Оболь.</w:t>
      </w:r>
    </w:p>
    <w:p w14:paraId="0B47C7D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Проблемные вопросы:</w:t>
      </w:r>
      <w:r>
        <w:rPr>
          <w:sz w:val="28"/>
          <w:szCs w:val="28"/>
        </w:rPr>
        <w:t xml:space="preserve"> несоответствие качества воды по санитарно-гигиеническим показателям из-за отсутствия станций обезжелезивания при повышенном содержании железа; недостаточный уровень обеспечения сельского населения района системами централизованного водоснабжения; физический износ сетей и сооружений водопроводов; несоответствие качества воды шахтных колодцев по санитарно-гигиеническим показателям. </w:t>
      </w:r>
    </w:p>
    <w:p w14:paraId="5BC9C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воды, подаваемой населению из </w:t>
      </w:r>
      <w:r>
        <w:rPr>
          <w:bCs/>
          <w:iCs/>
          <w:sz w:val="28"/>
          <w:szCs w:val="28"/>
        </w:rPr>
        <w:t>источников централизованного водоснабжения</w:t>
      </w:r>
      <w:r>
        <w:rPr>
          <w:sz w:val="28"/>
          <w:szCs w:val="28"/>
        </w:rPr>
        <w:t>, за период с 2014 года по гигиеническим показателям имеет общую тенденцию к улучшению. Несоответствия проб составляет из источников централизованного водоснабжения по микробиологическим показателям – 0 (в 2023 году - 0); по санитарно-химическим показателям – 4,6% (2023 году – 2,8%) в том числе по содержанию железа – 7,4%, по органолептическим показателям – 4,6%.</w:t>
      </w:r>
    </w:p>
    <w:p w14:paraId="68155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коммунальных водопроводов по микробиологическим показателям - 0 (в 2023 году - 0%); по санитарно-химическим показателям – 2,04% (2023 году – 6,49%) в том числе по содержанию железа – 25%, по органолептическим показателям – 2,04%.</w:t>
      </w:r>
    </w:p>
    <w:p w14:paraId="15AA5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ведомственных водопроводов по микробиологическим показателям – 0 (в 2023 году – 0%); по санитарно-химическим показателям – 0% (2023 году – 10,0%) в том числе по содержанию железа – 0%, по органолептическим показателям – 0%.</w:t>
      </w:r>
    </w:p>
    <w:p w14:paraId="434E6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Сенненском районе 24,8% населения используют воду из 365 общественных колодцев. В 2024 году 96,9% колодцев района соответствовали санитарным нормам по санитарно-техническому состоянию.  Наблюдается общая тенденция улучшения качества питьевой воды из </w:t>
      </w:r>
      <w:r>
        <w:rPr>
          <w:bCs/>
          <w:iCs/>
          <w:sz w:val="28"/>
          <w:szCs w:val="28"/>
          <w:u w:val="single"/>
        </w:rPr>
        <w:t xml:space="preserve">децентрализованных источников питьевого водоснабжения </w:t>
      </w:r>
      <w:r>
        <w:rPr>
          <w:sz w:val="28"/>
          <w:szCs w:val="28"/>
        </w:rPr>
        <w:t>по микробиологическим показателям (2023-2024 годы – 0%, 2022 год – 0,3%), сохраняется тенденция к уменьшению нестандартных проб по санитарно-химическим показателям – 1,03% (в 2023 году – 1,3 %).</w:t>
      </w:r>
    </w:p>
    <w:p w14:paraId="32955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Сенненского райисполкома №332 от 07.04.2025 «О местах массового отдыха граждан у воды» определено два места отдыха   - озеро Сенненское (городской пляж) и озеро Серокоротнянское (д. Рябцево). Произведена паспортизация мест отдыха на водных объектах, водолазное обследование и очистка дна акваторий пляжей. В 2024 году осуществлено 24 надзорных мероприятия, отобрано 32 пробы воды для исследования по   микробиологическим показателям, 3 пробы на санитарно-химические показатели. Все пробы соответствуют санитарно-гигиеническим требованиям.</w:t>
      </w:r>
    </w:p>
    <w:p w14:paraId="257875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Сенненском районе </w:t>
      </w:r>
      <w:r>
        <w:rPr>
          <w:sz w:val="28"/>
          <w:szCs w:val="28"/>
        </w:rPr>
        <w:t>централизованная система водоотведения</w:t>
      </w:r>
      <w:r>
        <w:rPr>
          <w:bCs/>
          <w:sz w:val="28"/>
          <w:szCs w:val="28"/>
        </w:rPr>
        <w:t xml:space="preserve"> (канализации) с отведением сточных вод на очистные сооружения искусственной очистки сточных вод действует в г.Сенно, а.г. Богдано, а.г. Немойта, а.г. Ходцы, а.г. Мошканы. В основном для очистки сточных вод используются очистные сооружения естественной биологической очистки – поля фильтрации. Население, проживающее в усадебной застройке, пользуется вывозной системой канализации с надворными уборными и выгребами.</w:t>
      </w:r>
    </w:p>
    <w:p w14:paraId="193A57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г. Сенно все хозяйственно-фекальные сточные воды поступают на городские очистные сооружения проектной мощностью 3 тыс. м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/сутки. Фактическое поступление стоков в 2024 году не превысило проектной мощности. </w:t>
      </w:r>
    </w:p>
    <w:p w14:paraId="43F399CC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На территории г. Сенно отсутствуют промышленные сточные воды, требующие предварительной очистки и нейтрализации на локальных очистных сооружениях. Сеть ливневой канализации города протяженностью 25710 метров, имеет 3 выпуска в водные объекты, которые без очистки сбрасывают воды в мелиоративные каналы.  Внедрение прогрессивных технологий производства, предотвращающих загрязнение водной среды, в 2024 году не проводились.</w:t>
      </w:r>
    </w:p>
    <w:p w14:paraId="735FF602">
      <w:pPr>
        <w:shd w:val="clear" w:fill="FFFFFF" w:themeFill="background1"/>
        <w:ind w:right="-57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2.2.5 Атмосферный воздух</w:t>
      </w:r>
    </w:p>
    <w:p w14:paraId="436D8ED5">
      <w:pPr>
        <w:shd w:val="clear" w:fill="FFFFFF" w:themeFill="background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Основными источниками загрязнения атмосферного воздуха в Сенненском районе являются промышленные и коммунальные предприятия, автомобильный и железнодорожный транспорт. </w:t>
      </w:r>
    </w:p>
    <w:p w14:paraId="30D915C5">
      <w:pPr>
        <w:shd w:val="clear" w:fill="FFFFFF" w:themeFill="background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2024 году объём выбросов от стационарных источников составил 1,02 тыс. тонн, что выше, чем в 2023 году в 22,9%. При этом 2016 г. по 2020 г.,  наблюдается тенденция постепенного уменьшения объемов выбросов загрязняющих веществ в атмосферный воздух от стационарных источников: 2016 г. </w:t>
      </w:r>
      <w:r>
        <w:rPr>
          <w:color w:val="000000"/>
          <w:spacing w:val="1"/>
          <w:sz w:val="28"/>
          <w:szCs w:val="28"/>
          <w:highlight w:val="none"/>
        </w:rPr>
        <w:t>–</w:t>
      </w:r>
      <w:r>
        <w:rPr>
          <w:sz w:val="28"/>
          <w:szCs w:val="28"/>
          <w:highlight w:val="none"/>
        </w:rPr>
        <w:t xml:space="preserve"> 0,89 тыс. тонн; 2018 г. – 0,66 тыс. тонн, 2020 г. – 0,60 тыс. тонн.</w:t>
      </w:r>
    </w:p>
    <w:p w14:paraId="6810A2F4">
      <w:pPr>
        <w:shd w:val="clear" w:fill="FFFFFF" w:themeFill="background1"/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pacing w:val="4"/>
          <w:sz w:val="28"/>
          <w:szCs w:val="28"/>
          <w:highlight w:val="none"/>
        </w:rPr>
        <w:t>Многолетняя динамика за период 2015-2024 годы характеризуется тенденцией к умеренному снижению с темпом прироста (-2,2%)</w:t>
      </w:r>
      <w:r>
        <w:rPr>
          <w:sz w:val="28"/>
          <w:szCs w:val="28"/>
          <w:highlight w:val="none"/>
        </w:rPr>
        <w:t xml:space="preserve">.  </w:t>
      </w:r>
    </w:p>
    <w:p w14:paraId="628E5ABE">
      <w:pPr>
        <w:shd w:val="clear" w:fill="FFFFFF" w:themeFill="background1"/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pacing w:val="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 Превышений максимально разовых предельно-допустимых концентраций (ПДК) загрязнений атмосферного воздуха не регистрировалось.</w:t>
      </w:r>
    </w:p>
    <w:p w14:paraId="0A3C0637">
      <w:pPr>
        <w:ind w:firstLine="709"/>
        <w:jc w:val="both"/>
        <w:rPr>
          <w:sz w:val="28"/>
          <w:szCs w:val="28"/>
          <w:highlight w:val="none"/>
        </w:rPr>
      </w:pPr>
    </w:p>
    <w:bookmarkEnd w:id="3"/>
    <w:p w14:paraId="3BC721A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2.2.6 Гигиеническая характеристика продовольственного сырья и пищевых продуктов</w:t>
      </w:r>
    </w:p>
    <w:p w14:paraId="7555E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при проведении лабораторных испытаний продовольственного сырья и пищевых продуктов, производимых и реализуемых на территории Сенненского района, по результатам лабораторных исследований выявлены несоответствия требованиям 4 проб пищевой продукции от общего числа отобранных, что составило 6,6%. Из обращения изъято 98,18 кг продукции.</w:t>
      </w:r>
    </w:p>
    <w:p w14:paraId="7CDEB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анализируемый период 2011-2024 гг. превышений ПДК остаточных количеств, микотоксинов и патулина в продуктах питания, вырабатываемых и реализуемых в Сенненском районе (исследовано 7 проб) не обнаружено. На содержание нитратов в плодоовощной продукции исследовано 4 пробы – превышений ПДК не зарегистрировано. На пестициды   исследовано 7 проб, токсичные элементы – 22 проб, превышений не установлено. </w:t>
      </w:r>
    </w:p>
    <w:p w14:paraId="065F4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четыре года количество проб по качеству продовольственного сырья и пищевых продуктов уменьшилось (2019 год – 617 проб,  2020 год – 402 пробы, 2021 – 455 проб, 2023 – 139 проб, 2024 - 119) в связи с сокращением объектов общественного питания и торговли, а также сокращением перечня выпускаемой продукции.</w:t>
      </w:r>
    </w:p>
    <w:p w14:paraId="6CE575EA">
      <w:pPr>
        <w:jc w:val="both"/>
        <w:rPr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</w:p>
    <w:p w14:paraId="0CA52AA0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2.2.7 Состояние воздушной среды и физические факторы в закрытых помещениях</w:t>
      </w:r>
    </w:p>
    <w:p w14:paraId="3760EA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2023-2024 годы лабораторные исследования факторов производственной среды проведены на 175 рабочих местах промышленных предприятий и сельскохозяйственных организаций, не отвечают гигиеническим требованиям -36 рабочих мест (20,6%). Нестандартные пробы регистрируются по электромагнитным полям, шумовому фактору и освещенности. Фактов несоответствия гигиеническим нормативам по показателю «микроклимат» на рабочих местах  </w:t>
      </w:r>
      <w:r>
        <w:rPr>
          <w:color w:val="000000"/>
          <w:sz w:val="28"/>
          <w:szCs w:val="28"/>
        </w:rPr>
        <w:t xml:space="preserve"> в закрытых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помещениях коммунальных 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/>
          <w:sz w:val="28"/>
          <w:szCs w:val="28"/>
        </w:rPr>
        <w:t>пищевых объектов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 зарегистрировано.</w:t>
      </w:r>
    </w:p>
    <w:p w14:paraId="1C1CC0E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исследовании рабочих мест закрытых помещений детских и подростковых учреждений за период 2013-2024 годы отмечено отсутствие с 2014 года несоответствий по показателю «микроклимат» и с 2016 года по показателю «электромагнитное излучение».</w:t>
      </w:r>
    </w:p>
    <w:p w14:paraId="2AFFA2CC">
      <w:pPr>
        <w:jc w:val="both"/>
        <w:rPr>
          <w:color w:val="000000"/>
          <w:sz w:val="28"/>
          <w:szCs w:val="28"/>
        </w:rPr>
      </w:pPr>
    </w:p>
    <w:p w14:paraId="2C152D60">
      <w:pPr>
        <w:ind w:firstLine="709"/>
        <w:jc w:val="center"/>
        <w:rPr>
          <w:b/>
          <w:sz w:val="28"/>
          <w:szCs w:val="28"/>
        </w:rPr>
      </w:pPr>
      <w:bookmarkStart w:id="4" w:name="_Hlk177138985"/>
      <w:r>
        <w:rPr>
          <w:b/>
          <w:sz w:val="28"/>
          <w:szCs w:val="28"/>
        </w:rPr>
        <w:t>2.3 Социально-экономическая индикация качества среды жизнедеятельности для улучшения популяционного здоровья.</w:t>
      </w:r>
    </w:p>
    <w:p w14:paraId="437A7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Трудовые ресурсы в Сенненском районе (удельный вес населения трудоспособного возраста) на протяжении                    5-летнего периода имеют тенденцию к стабилизации (с 49,8% в 2020 году до 51,7% в 2024 году) со среднегодовым темпом прироста + 1,5%, тогда как в целом для области характерен более высокий уровень (66,7%) трудоспособного населения.</w:t>
      </w:r>
    </w:p>
    <w:p w14:paraId="4C423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лиц трудоспособного возраста, как в районе, так и по области, преобладает мужское население (55,4% мужское и 44,6% женское).  Удельный вес возрастной группы населения до 25 лет и группы 25-29 лет снижается на фоне повышения удельного веса возрастной группы 55 и старше.  </w:t>
      </w:r>
    </w:p>
    <w:p w14:paraId="22BFA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«Национальной стратегией устойчивого социально-экономического развития Республики Беларусь на период до 2030 года» в качестве целевого параметра эффективности рынка труда выступает уровень регистрируемой безработицы – 1,5% к экономически активному населению в 2030 году.  В Сенненском районе уровень зарегистрированной безработицы в 2023 году составил 0,2% (при задании не выше 1%).  Количество безработных, зарегистрированных в органах по труду и социальной защите в Сенненском районе, на конец 2024 года составило 14 человек, 2023 году – 17 человек. </w:t>
      </w:r>
    </w:p>
    <w:p w14:paraId="2EA33E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Численность населения, занятого в экономике, продолжает сокращаться, это обусловлено естественной убылью населения и миграционным оттоком. </w:t>
      </w:r>
    </w:p>
    <w:p w14:paraId="47907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социально-экономических условиях Сенненский район является потенциальным экспортером рабочей силы.   С 2015 года возрос отток населения как из города, так и из сельской местности, главным образом в областной и столичный регионы. </w:t>
      </w:r>
    </w:p>
    <w:p w14:paraId="0B651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Гендерная среда: на территории района соотношение мужчин/женщин характеризуется преобладанием женщин    8666/9956 человека.</w:t>
      </w:r>
    </w:p>
    <w:p w14:paraId="40AF5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Обеспеченность населения жильём по Сенненскому району на одного жителя составила в 2023 году – 45,1 м2 (2010 – 34,8м2), в том числе в городе 35,6 м2, на селе – 54,8 м2. </w:t>
      </w:r>
    </w:p>
    <w:p w14:paraId="21E55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обеспеченности жилищ водопроводом в Сенненском районе составляет 91,2%.</w:t>
      </w:r>
    </w:p>
    <w:p w14:paraId="771CC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домашних хозяйств, проживающих в квартирах (домах), оборудованных газом, в районе в 2024 году изменился по сравнению с 2010 годом и составил 35,5% (в 2021 году – 34,7%). </w:t>
      </w:r>
    </w:p>
    <w:p w14:paraId="26409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уровень газификации домашних хозяйств в сельской местности в районе за прошедший год составил   10,2% (рост на 0,8%).</w:t>
      </w:r>
    </w:p>
    <w:p w14:paraId="17739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 «употребление алкоголя на душу населения в возрасте 15 лет и старше в литрах чистого спирта» составил 10,6 (2023- 10,8; 2022 – 10,9; 2021 год – 11,4). Уровень пьянства и алкоголизма в районе не характеризуется устойчивостью к уменьшению.</w:t>
      </w:r>
    </w:p>
    <w:p w14:paraId="48AD9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Сенненском районе число абортов продолжает ежегодно сокращаться, однако процент прерывания беременностей остаётся высоким. Так, в 2024 году из 6 абортов (2023 год – 8) только 1 был по медицинским показаниям. </w:t>
      </w:r>
    </w:p>
    <w:p w14:paraId="466720F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Коэффициент охвата детей учреждениями дошкольного образования растет и превышает областной и республиканский показатели, в 2024 году он составляет 94,3% (2023 - составляет 94,2%), по Республике Беларусь – 89,2%; Витебской области – 89,7%.</w:t>
      </w:r>
    </w:p>
    <w:p w14:paraId="7D68E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Сменность занятий в учреждениях общего среднего образования (удельный вес учащихся, занимающихся в 1 смену) с 2016 года является стабильной и составляет 100% учащихся.</w:t>
      </w:r>
    </w:p>
    <w:bookmarkEnd w:id="4"/>
    <w:p w14:paraId="3D91F8D1">
      <w:pPr>
        <w:ind w:firstLine="709"/>
        <w:jc w:val="both"/>
        <w:rPr>
          <w:b/>
          <w:sz w:val="28"/>
          <w:szCs w:val="28"/>
        </w:rPr>
      </w:pPr>
    </w:p>
    <w:p w14:paraId="240347D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2.4 </w:t>
      </w:r>
      <w:r>
        <w:rPr>
          <w:b/>
          <w:bCs/>
          <w:sz w:val="28"/>
          <w:szCs w:val="28"/>
        </w:rPr>
        <w:t>Анализ рисков здоровью</w:t>
      </w:r>
    </w:p>
    <w:p w14:paraId="2CE6C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медико-демографической и социально-гигиенической ситуации показывает, что в 2024 году на территории Сенненского района имеются условия для формирования следующих рисков здоровью на популяционном уровне (рис.24).</w:t>
      </w:r>
    </w:p>
    <w:p w14:paraId="2B82CBDD">
      <w:pPr>
        <w:pStyle w:val="31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Поведенческие риски: потребление зарегистрированного и незарегистрированного алкоголя в </w:t>
      </w:r>
      <w:r>
        <w:rPr>
          <w:sz w:val="28"/>
          <w:szCs w:val="28"/>
          <w:lang w:val="ru-RU"/>
        </w:rPr>
        <w:t>пересчёте</w:t>
      </w:r>
      <w:r>
        <w:rPr>
          <w:sz w:val="28"/>
          <w:szCs w:val="28"/>
        </w:rPr>
        <w:t xml:space="preserve"> на чистый спирт на душу населения в возрасте 15 лет и старше.</w:t>
      </w:r>
      <w:r>
        <w:rPr>
          <w:iCs/>
          <w:color w:val="000000"/>
          <w:sz w:val="28"/>
          <w:szCs w:val="28"/>
        </w:rPr>
        <w:t xml:space="preserve"> Первичная заболеваемость алкоголизмом и алкогольными психозами  в 202</w:t>
      </w:r>
      <w:r>
        <w:rPr>
          <w:rFonts w:hint="default"/>
          <w:iCs/>
          <w:color w:val="000000"/>
          <w:sz w:val="28"/>
          <w:szCs w:val="28"/>
          <w:lang w:val="ru-RU"/>
        </w:rPr>
        <w:t>4</w:t>
      </w:r>
      <w:r>
        <w:rPr>
          <w:iCs/>
          <w:color w:val="000000"/>
          <w:sz w:val="28"/>
          <w:szCs w:val="28"/>
        </w:rPr>
        <w:t xml:space="preserve"> году составила 351,2/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iCs/>
          <w:color w:val="000000"/>
          <w:sz w:val="28"/>
          <w:szCs w:val="28"/>
        </w:rPr>
        <w:t xml:space="preserve">, прирост к уровню предыдущего года по району +9,3%;  </w:t>
      </w:r>
      <w:r>
        <w:rPr>
          <w:iCs/>
          <w:color w:val="000000"/>
          <w:sz w:val="28"/>
          <w:szCs w:val="28"/>
          <w:lang w:val="ru-RU"/>
        </w:rPr>
        <w:t>распространённость</w:t>
      </w:r>
      <w:r>
        <w:rPr>
          <w:spacing w:val="1"/>
          <w:sz w:val="28"/>
          <w:szCs w:val="28"/>
        </w:rPr>
        <w:t xml:space="preserve"> употребления табака лицами в возрасте 16 лет и старше в 202</w:t>
      </w:r>
      <w:r>
        <w:rPr>
          <w:rFonts w:hint="default"/>
          <w:spacing w:val="1"/>
          <w:sz w:val="28"/>
          <w:szCs w:val="28"/>
          <w:lang w:val="ru-RU"/>
        </w:rPr>
        <w:t>4</w:t>
      </w:r>
      <w:r>
        <w:rPr>
          <w:spacing w:val="1"/>
          <w:sz w:val="28"/>
          <w:szCs w:val="28"/>
        </w:rPr>
        <w:t xml:space="preserve"> году значительно снизилась как по области, так и по району, однако сохраняется значительный удельный вес населения, потребляющего табак; и</w:t>
      </w:r>
      <w:r>
        <w:rPr>
          <w:sz w:val="28"/>
          <w:szCs w:val="28"/>
        </w:rPr>
        <w:t>нформационный стресс – его в</w:t>
      </w:r>
      <w:r>
        <w:rPr>
          <w:sz w:val="28"/>
          <w:szCs w:val="28"/>
          <w:lang w:eastAsia="en-US"/>
        </w:rPr>
        <w:t>оздействие   вызывает характерные для любого стресса биохимические реакции, сдвиги в состоянии ряда физиологических функций и как следствие повышение общей заболеваемости.</w:t>
      </w:r>
    </w:p>
    <w:p w14:paraId="1726A9AA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Нерациональное, нездоровое питание способствует развитию в организме человека различных вторичных физиологических нарушений, так называемых «алиментарно-зависимых факторов риска и состояний»: повышенного артериального давления, гиперхолестеринемии, избыточной массы тела (ожирения), гипергликемии,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распространённость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которых в нашей стране значительна. </w:t>
      </w:r>
    </w:p>
    <w:p w14:paraId="5F7028C5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Результаты медицинских исследований свидетельствуют, что население Республики Беларусь, как и других развитых стран, столкнулось с последствиями нерационального питания: сердечно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сосудистыми, нейродегенеративными и раковыми заболеваниями, ожирением и диабетом II типа. В Республике Беларусь количество лиц с избыточной массой тела среди подростков достигает 21%, среди взрослого населения – 60%, различные формы сахарного диабета, болезни органов пищеварения приводят к заболеваниям системы кровообращения, новообразованиям. Регулярные массовые обследования всех групп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населения (детей, студентов, беременных женщин, работников различных профессий) в разных регионах страны однозначно свидетельствуют о крайне недостаточном потреблении витаминов и ряда минеральных веществ. Согласно исследованиям, 70-90% населения имеют дефицит витамина С; 40-80% – витаминов группы В и фолиевой кислоты; 40-60% витамина А, β-каротина и других каротиноидов; 20-30% – витаминов В12 и Е. Дефицит витаминов во многих регионах и группах населения часто сочетается с недостаточным поступлением ряда макро- и микроэлементов. Так, 20-55 % населения имеет дефицит железа, кальция, фтора, селена, йода и др.</w:t>
      </w:r>
    </w:p>
    <w:p w14:paraId="70BEB704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5D14953">
      <w:pPr>
        <w:keepNext w:val="0"/>
        <w:keepLines w:val="0"/>
        <w:widowControl/>
        <w:suppressLineNumbers w:val="0"/>
        <w:jc w:val="center"/>
      </w:pPr>
      <w:r>
        <w:rPr>
          <w:rFonts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Результаты оценок потенциальной степени рисков популяционному здоровью в </w:t>
      </w:r>
      <w:r>
        <w:rPr>
          <w:rFonts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lang w:val="ru-RU" w:eastAsia="zh-CN" w:bidi="ar"/>
        </w:rPr>
        <w:t>Сенненском</w:t>
      </w:r>
      <w:r>
        <w:rPr>
          <w:rFonts w:hint="default"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районе</w:t>
      </w:r>
      <w:r>
        <w:rPr>
          <w:rFonts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в 202</w:t>
      </w:r>
      <w:r>
        <w:rPr>
          <w:rFonts w:hint="default"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lang w:val="ru-RU" w:eastAsia="zh-CN" w:bidi="ar"/>
        </w:rPr>
        <w:t>4</w:t>
      </w:r>
      <w:r>
        <w:rPr>
          <w:rFonts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году</w:t>
      </w:r>
    </w:p>
    <w:p w14:paraId="25331B8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(менее 5 баллов– низкий риск; 5-10 баллов– умеренный риск; более 10 баллов– высокий риск)</w:t>
      </w:r>
    </w:p>
    <w:p w14:paraId="0DDD2EC4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Результаты, отражающие консенсус мнений экспертов, представлен на рисунке:</w:t>
      </w:r>
    </w:p>
    <w:p w14:paraId="407C672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3382938">
      <w:pPr>
        <w:keepNext w:val="0"/>
        <w:keepLines w:val="0"/>
        <w:widowControl/>
        <w:suppressLineNumbers w:val="0"/>
        <w:jc w:val="left"/>
        <w:rPr>
          <w:rFonts w:eastAsia="ArialMT"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Рисунок</w:t>
      </w:r>
      <w:r>
        <w:rPr>
          <w:i/>
          <w:iCs/>
          <w:sz w:val="28"/>
          <w:szCs w:val="28"/>
        </w:rPr>
        <w:t xml:space="preserve"> 24</w:t>
      </w:r>
      <w:r>
        <w:rPr>
          <w:sz w:val="28"/>
          <w:szCs w:val="28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Ранги рисков развития НИЗ</w:t>
      </w:r>
    </w:p>
    <w:p w14:paraId="1CB3BCBC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90170</wp:posOffset>
            </wp:positionV>
            <wp:extent cx="4413250" cy="2322830"/>
            <wp:effectExtent l="4445" t="4445" r="17145" b="19685"/>
            <wp:wrapSquare wrapText="bothSides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anchor>
        </w:drawing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аналитических оценок применены подходы менеджмента, определяемые ГОСТ РБ СТБ ISO/IEC 31010 «Методики оценки риска». Для проведения аналитических оценок привлечены врачи-специалисты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Сенненского РЦГЭ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6722AD7C">
      <w:pPr>
        <w:keepNext w:val="0"/>
        <w:keepLines w:val="0"/>
        <w:widowControl/>
        <w:suppressLineNumbers w:val="0"/>
        <w:ind w:firstLine="708" w:firstLineChars="0"/>
        <w:jc w:val="both"/>
        <w:rPr>
          <w:highlight w:val="no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Результаты показали, что </w:t>
      </w:r>
      <w:r>
        <w:rPr>
          <w:rFonts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высокий уровень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риска развития неинфекционной заболеваемости установлен для населения, потребляющего алкоголь и табак, включая пассивное курение</w:t>
      </w:r>
      <w:r>
        <w:rPr>
          <w:rFonts w:ascii="Times New Roman Полужирный Курсив" w:hAnsi="Times New Roman Полужирный Курсив" w:eastAsia="Times New Roman Полужирный Курсив" w:cs="Times New Roman Полужирный Курсив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Умеренный уровень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риска развития неинфекционной заболеваемости установлен для населения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нерациональным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питани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и </w:t>
      </w:r>
      <w:r>
        <w:rPr>
          <w:sz w:val="28"/>
          <w:szCs w:val="28"/>
          <w:highlight w:val="none"/>
        </w:rPr>
        <w:t>с высоким уровнем информационного стресса населения</w:t>
      </w:r>
      <w:r>
        <w:rPr>
          <w:rFonts w:hint="default" w:ascii="Times New Roman Полужирный" w:hAnsi="Times New Roman Полужирный" w:eastAsia="Times New Roman Полужирный" w:cs="Times New Roman Полужирный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.</w:t>
      </w:r>
    </w:p>
    <w:p w14:paraId="0C4C97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ГИГИЕНИЧЕСКИЕ АСПЕКТЫ ОБЕСПЕЧЕНИЯ УСТОЙЧИВОГО РАЗВИТИЯ ТЕРРИТОРИИ</w:t>
      </w:r>
    </w:p>
    <w:p w14:paraId="714B52AA">
      <w:pPr>
        <w:jc w:val="center"/>
        <w:rPr>
          <w:b/>
          <w:bCs/>
          <w:sz w:val="28"/>
          <w:szCs w:val="28"/>
        </w:rPr>
      </w:pPr>
    </w:p>
    <w:p w14:paraId="71AF4382">
      <w:pPr>
        <w:jc w:val="center"/>
        <w:rPr>
          <w:b/>
          <w:bCs/>
          <w:sz w:val="28"/>
          <w:szCs w:val="28"/>
        </w:rPr>
      </w:pPr>
      <w:bookmarkStart w:id="5" w:name="_Hlk177139005"/>
      <w:r>
        <w:rPr>
          <w:b/>
          <w:bCs/>
          <w:sz w:val="28"/>
          <w:szCs w:val="28"/>
        </w:rPr>
        <w:t>3.1 Гигиена воспитания и обучения детей и подростков</w:t>
      </w:r>
    </w:p>
    <w:p w14:paraId="6BBDC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2024 год численность детского населения в возрасте 0-17 лет составила 2792 (уменьшилась на 146 детей).  </w:t>
      </w:r>
    </w:p>
    <w:p w14:paraId="6A83E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Сенненском районе функционирует 10 учреждений среднего образования (3 городских и 7 сельских), с общим количеством обучающихся 1668 учащихся и 5 дошкольных учреждений (4 городских, 1 сельский) с числом воспитанников 496.</w:t>
      </w:r>
    </w:p>
    <w:p w14:paraId="61F32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Мониторинг здоровья детей и подростков в общеобразовательных учреждениях: в Сенненском районе педиатрической службой ежегодно проводится углубленный медицинский осмотр (далее – осмотр) школьников с привлечением врачей-специалистов территориальных учреждений здравоохранения. </w:t>
      </w:r>
    </w:p>
    <w:p w14:paraId="48535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осмотра и врачебные рекомендации представляются в учебные учреждения для формирования групп по физическому воспитанию, заполнению листков здоровья, проведению рассадки учащихся по учебным партам.</w:t>
      </w:r>
    </w:p>
    <w:p w14:paraId="3F888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Районным управлением по образованию проводилась работа по укреплению материально-технической базы детских дошкольных и общеобразовательных учреждений в части обеспечения соблюдения гигиенических требований при учебно-воспитательном процессе в соответствии с комплексным планом мер на 2021-2025 годы, утверждённым управлением по образованию Сенненского райисполкома от 20.11.2020 года. В 2024 году проведены значительные ремонтные работы в рамках текущего ремонта в ГУО «Средняя школа №1 г. Сенно имени З.И. Азгура» (проведен ремонт пола в спортивном зале, и системы вентиляции), ГУО «Ясли-сад №2» (ремонт санитарного узла и благоустройство территории), в ГУО «Мошканская средняя школа им.А.К. Горовца Сенненского района» и ГУО «Ходцевская средняя школа Сенненского района» (стены в производственных помещениях пищеблока облицованы плиткой, проведено благоустройство территории).</w:t>
      </w:r>
    </w:p>
    <w:p w14:paraId="73CD74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материально-техническая база ряда учреждений образования нуждается в улучшении - капитальном ремонте отдельных структурных подразделений и благоустройство территорий (см.ниже).</w:t>
      </w:r>
    </w:p>
    <w:p w14:paraId="2C077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значимость освещённости рабочих мест школьников в формировании патологии органов зрения, проведена замена осветительных приборов в ряде учреждений образования.    В 2024 году проведены замеры в 3 дошкольных учреждениях и 8 учреждениях среднего образования на 1545 рабочих местах, из них не соответствующих санитарным нормам не установлено.</w:t>
      </w:r>
    </w:p>
    <w:p w14:paraId="357F5F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учащихся учреждений образования Сенненского района учебной мебелью в соответствии с ростом составляет 94,5%. Актуальной остаётся проблема обеспечения детских учреждений регулируемой мебелью, партами с наклонной поверхностью, конторками (в старших классах).  </w:t>
      </w:r>
    </w:p>
    <w:p w14:paraId="727BF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отсутствуют учреждения образования, где учебно-воспитательный процесс осуществляется во вторую смену.</w:t>
      </w:r>
    </w:p>
    <w:p w14:paraId="1973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групп продлённого дня, учащихся сельских школ горячим питанием составляет 100%. Ученики 5-11 классов городских школ питаются по заявочной системе, охват горячим питанием этой категории учащихся составляет 96,0% (в течении последних 3-х лет уровень менее 90% не отмечался). Организована круглогодичная «С» витаминизация рационов питания.  </w:t>
      </w:r>
    </w:p>
    <w:p w14:paraId="7A2E7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приобретено холодильное и технологическое оборудование к новому учебному году в учреждения образования в соответствии с потребностью (пищеблоки учреждений образования на 100% оснащены холодильным и технологическим оборудованием), при этом остаётся проблема по приобретению и оснащению технологического оборудования для приготовления диетических блюд. </w:t>
      </w:r>
    </w:p>
    <w:p w14:paraId="6446F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летнюю оздоровительную кампанию 2024 года в Сенненском районе функционировало 16 оздоровительных лагерей, из них 15 - с дневным пребыванием детей (461 ребёнок) и 1 - с круглосуточным пребыванием детей (50 детей).</w:t>
      </w:r>
    </w:p>
    <w:p w14:paraId="11CF9133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оздоровления с выраженным эффектом составила 84,9% от всех оздоравливающих детей, со слабым эффектом - 13,1%.</w:t>
      </w:r>
    </w:p>
    <w:p w14:paraId="63020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 учреждениях общего среднего образования внедряется и реализуется информационный проект «Школа -территория здоровья». В реализации проекта   в 2024/2025 учебном году задействованы все учреждения образования, из них 4 учреждения - реализующие проект «Школа здоровья», 6 учреждений - с элементами проекта «Школа здоровья». </w:t>
      </w:r>
    </w:p>
    <w:p w14:paraId="5FA6679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Основными направлениями деятельности являются: </w:t>
      </w:r>
    </w:p>
    <w:p w14:paraId="0DE1C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контроля за выполнением откорректированной территориальной Программы (планов) по укреплению материально-технической базы учреждений образования - ремонт в ГУО «Средняя школа №1 г. Сенно» (облицовка стен в производственных помещениях пищеблока); ГУО «Богушевская СШ им. А.Э.Марфицкого» (обустройство беговой дорожки на спортивной площадке, покраска пола в спортивном зале); ГУО «Детский сад №1 г. Сенно» (продолжение ремонта в санитарных узлах); ГУО «Средняя школа №2 г. Сенно имени А.К. Касинцева» (благоустройство территории, ремонт спортивных площадок); </w:t>
      </w:r>
    </w:p>
    <w:p w14:paraId="293A8E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на межведомственной комиссии по контролю за питанием в учреждениях образования возможности поставок полуфабрикатов высокой степени первичной обработки на объекты питания учреждений образования; </w:t>
      </w:r>
    </w:p>
    <w:p w14:paraId="46870C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эффективного производственного контроля за качеством и безопасностью питания на основе оценки рисков и идентификации опасностей;</w:t>
      </w:r>
    </w:p>
    <w:p w14:paraId="45FA3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проведение организационно-методической работы по вовлечению учреждений общего среднего образования (в ГУО с элементами проекта) в реализацию информационного межведомственного проекта «Школа – территория здоровья».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5"/>
    <w:p w14:paraId="4BD0127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 Гигиена производственной среды</w:t>
      </w:r>
    </w:p>
    <w:p w14:paraId="08615ED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условий труда является одним из приоритетных направлений в работе учреждений государственного санитарного надзора области. </w:t>
      </w:r>
    </w:p>
    <w:p w14:paraId="1A7FF80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мероприятий по профилактике неинфекционных заболеваний проводится системная работа по обучению вопросам предупреждения производственно-обусловленной и профессиональной заболеваемости. Проведен 1 обучающий семинаров по актуальным вопросам с 34 руководителями и специалистами промышленных и сельскохозяйственных предприятий.</w:t>
      </w:r>
    </w:p>
    <w:p w14:paraId="3A5B1E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межведомственных рабочих групп обследованиями охвачено 30 объектов, имеющих высокие уровни травматизма и заболеваемости с рассмотрением результатов на соответствующих комиссиях при исполнительном комитете. С целью устранения нарушений и недопущению их в дальнейшем в органы исполнительной власти направлено 15 материалов.</w:t>
      </w:r>
    </w:p>
    <w:p w14:paraId="54BD4F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выполнения мероприятий, направленных на улучшение условий труда работающих, инициированных учреждениями госсаннадзора, на объектах промышленности и сельского хозяйства приведено в соответствие с требованиями гигиенических нормативов 34 рабочих мест, проведены на 5 предприятиях ремонт производственных и санитарно-бытовых помещений.  </w:t>
      </w:r>
    </w:p>
    <w:p w14:paraId="7D922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промышленность Сенненского района представлена 28 предприятиями всех форм собственности и 11 предприятиями агропромышленного комплекса, из них 21 – средней степени риска или 53%, 18 – со слабо выраженным риском или 47%.  Надзорными мероприятиями охвачено 9 субъектов, 31 объект.</w:t>
      </w:r>
    </w:p>
    <w:p w14:paraId="6AD6BB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Центром гигиены и эпидемиологии осуществляется постоянный лабораторный контроль параметров факторов производственной среды на предприятиях и в организациях. За 2023- 2024 годы лабораторные исследования факторов производственной среды проведены на 175 рабочих местах промышленных предприятий и сельскохозяйственных организаций, не отвечают гигиеническим требованиям -36 рабочих мест (20,6%). Нестандартные пробы регистрируются по электромагнитным полям, шумовому фактору и освещенности. Фактов несоответствия гигиеническим нормативам по показателю «микроклимат» на рабочих местах  </w:t>
      </w:r>
      <w:r>
        <w:rPr>
          <w:color w:val="000000"/>
          <w:sz w:val="28"/>
          <w:szCs w:val="28"/>
        </w:rPr>
        <w:t xml:space="preserve"> в закрытых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помещениях коммунальных 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/>
          <w:sz w:val="28"/>
          <w:szCs w:val="28"/>
        </w:rPr>
        <w:t>пищевых объектов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 зарегистрировано.</w:t>
      </w:r>
    </w:p>
    <w:p w14:paraId="4AE48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лабораторного контроля за последние годы свидетельствует о стабилизации состояния факторов производственной среды.</w:t>
      </w:r>
    </w:p>
    <w:p w14:paraId="3C689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работающих во вредных условиях труда в 2023 году по отношению к 2022 году снизился на 0,3 и составил 9,6% (2022год- 9,9%).</w:t>
      </w:r>
    </w:p>
    <w:p w14:paraId="140CF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комплексе мероприятий, направленных на профилактику профессиональной и производственно обусловленной патологии, особое место занимает организация и проведение обязательных предварительных и периодических медицинских осмотров работающего населения района. Медицинским осмотром охвачено 95,3% работающих от числа подлежащих медицинскому осмотру. За 2024 год обязательными медицинскими осмотрами охвачено 712 работающих во вредных условиях труда, в 2023 году - 702 работника. В 2023 году увеличился удельный вес лиц с общими заболеваниями, не препятствующими продолжению работы, увеличился в 1,2 раза и составил 2,1 % (2022- 1,7%).</w:t>
      </w:r>
    </w:p>
    <w:p w14:paraId="50597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по профилактике производственного травматизма и профессиональной заболеваемости, при районном исполнительном комитете</w:t>
      </w:r>
      <w:r>
        <w:rPr>
          <w:sz w:val="28"/>
          <w:szCs w:val="28"/>
          <w:shd w:val="clear" w:color="auto" w:fill="FFFFFF"/>
        </w:rPr>
        <w:t xml:space="preserve"> и на заседании районной комиссии по выполнению требований </w:t>
      </w:r>
      <w:r>
        <w:rPr>
          <w:sz w:val="28"/>
          <w:szCs w:val="28"/>
        </w:rPr>
        <w:t>Директивы Президента Республики Беларусь от 11 марта 2004 года №1 «О мерах по укреплению общественной безопасности и дисциплины с принятием решений рассмотрен вопрос о прохождении обязательных медицинских осмотров.</w:t>
      </w:r>
    </w:p>
    <w:p w14:paraId="1F5ABE0A">
      <w:pPr>
        <w:pStyle w:val="4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2012 года по истекший период 2024 года профессиональных заболеваний на территории Сенненского района не выявлено.  </w:t>
      </w:r>
    </w:p>
    <w:p w14:paraId="77394EE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Выводы: отмечается улучшение показателей отдельных производственных факторов на рабочих местах: пары и газы, освещенность. Удельный вес работающих во вредных условиях труда остается стабильным, вместе с тем необходимо активизировать работу заинтересованных ведомств и органов исполнительной власти в области создания здоровых и безопасных производственных технологий, и условий труда на предприятиях различных отраслей и форм собственности акцентируя внимания на следующие мероприятия: реализация мероприятий по модернизации производств, улучшению условий труда, способствующих снижению количества работников, занятых на рабочих местах с вредными и (или) опасными условиями труда; осуществление систематического производственного контроля соблюдения санитарно-эпидемиологических требований, в том числе с выполнением объема и кратности лабораторных исследований и замеров; обеспечение прохождения обязательного периодического медицинского осмотра работающих, занятых в условиях воздействия вредных и (или) опасных производственных факторов в порядке, установленном законодательством; проведение мероприятий на предприятиях и в организациях, способствующих формированию приверженности к здоровому образу жизни, в том числе проведение разъяснительной работы, внесение изменений в коллективные договора в части поощрения работников за здоровый образ жизни.</w:t>
      </w:r>
    </w:p>
    <w:p w14:paraId="3221EA21">
      <w:pPr>
        <w:ind w:firstLine="708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 xml:space="preserve">Задачи: стимулирование промышленных предприятий на проведение модернизации производства и внедрение современных технологических процессов и оборудования - реконструкция  котельной </w:t>
      </w:r>
      <w:r>
        <w:rPr>
          <w:color w:val="000000"/>
          <w:spacing w:val="-2"/>
          <w:sz w:val="28"/>
          <w:szCs w:val="28"/>
        </w:rPr>
        <w:t xml:space="preserve"> «Центральная» с установкой энергоэффективных котлов в г. Сенно по ул. Коваленко»; </w:t>
      </w:r>
      <w:r>
        <w:rPr>
          <w:sz w:val="28"/>
          <w:szCs w:val="28"/>
        </w:rPr>
        <w:t xml:space="preserve">   строительство молочно-товарного комплекса на 1200 дойных коров с замкнутым циклом в Унитарном предприятии «Дружбинец»  и др.; ремонт помещений РММ (с оборудованием комнаты отдыха, гардеробной) в СУП «совхоз им. Машерова»;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реализация системы мер по улучшению условий труда - продолжение работы с руководителями субъектов хозяйствования по организации и проведению производственного, в том числе  лабораторного, контроля за условиями труда работников и реализации  мероприятий по приведению уровней факторов производственной среды в  соответствие с гигиеническими нормативами,  обеспечению работников средствами индивидуальной защиты  (спецодеждой) в соответствии с действующими НПА,  обеспечению полного охвата обязательными медосмотрами  работающих промышленных и сельскохозяйственных предприятий;      пропаганда здорового образа жизни, в т.ч. дальнейшая  реализация профилактических проектов  «Сенно – здоровый город», «г.п.Богушевск – здоровый поселок», «Ходцы – территория спорта» и др.</w:t>
      </w:r>
      <w:r>
        <w:rPr>
          <w:color w:val="000000"/>
          <w:spacing w:val="-2"/>
          <w:sz w:val="28"/>
          <w:szCs w:val="28"/>
        </w:rPr>
        <w:t xml:space="preserve"> </w:t>
      </w:r>
    </w:p>
    <w:p w14:paraId="5A1FC1FD">
      <w:pPr>
        <w:ind w:firstLine="709"/>
        <w:jc w:val="center"/>
        <w:rPr>
          <w:b/>
          <w:sz w:val="28"/>
          <w:szCs w:val="28"/>
        </w:rPr>
      </w:pPr>
      <w:bookmarkStart w:id="6" w:name="_Hlk176249168"/>
    </w:p>
    <w:p w14:paraId="0F61E42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 Гигиена питания и потребления населения</w:t>
      </w:r>
    </w:p>
    <w:p w14:paraId="65B89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производственно-потребительский продовольственный сектор представлен 107 предприятиями, производящих и реализующих продукты питания, в том числе 33 предприятиями пищевой промышленности, 6 предприятиями общественного питания и 68 объектами продовольственной торговли различных форм собственности.</w:t>
      </w:r>
    </w:p>
    <w:p w14:paraId="760B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Существенный сегмент в структуре производства района занимает пищевая промышленность (30%), из общего числа предприятий пищевой промышленности 84,8% составляют молочно-товарные фермы. Количество предприятий Сенненского района, осуществляющих производство продуктов питания, к 2024 году сократилось за счет реорганизации части молочно-товарных ферм.</w:t>
      </w:r>
    </w:p>
    <w:p w14:paraId="267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Производимые и реализуемые на территории района продукты питания соответствовали требованиям (несоответствия при проведении лабораторных испытаний не выявлены).  </w:t>
      </w:r>
    </w:p>
    <w:p w14:paraId="65D2C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проведенным мероприятиям по укреплению материально-технической базы предприятий пищевой промышленности, объектов общественного питания, продовольственной торговли, в 2024 году в районе отмечается положительная тенденция в санитарно-техническом и противоэпидемическом обеспечении предприятий, производящих и реализующих продукты питания.</w:t>
      </w:r>
    </w:p>
    <w:p w14:paraId="62D03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качества и конкурентоспособности вырабатываемой продукции внедрены системы менеджмента качества и безопасности на   пищевом предприятии   ОАО «Витебский ликеро-водочный завод «Придвинье» Богушевский спиртзавод.  Предприятия, внедрившие в 2023 году и поддерживающие систему менеджмента безопасности пищевых продуктов на основе анализа опасностей и критических контрольных точек (НАССР) на соответствие СТБ 1470-2012 – ООО «Сенненские сыры» (производство сыров «Моцарелла</w:t>
      </w:r>
      <w:r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).</w:t>
      </w:r>
    </w:p>
    <w:p w14:paraId="68F2D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Значительное внимание субъектами хозяйствования уделяется производству продукции диетического, профилактического, специализированного, детского питания, продукции с пониженным содержанием соли, сахара, жиров, обогащенных витаминами, микроэлементами. Продукты «здорового питания» вырабатываются на предприятиях Сенненского филиала Витебского областного потребительского общества - хлебозавод г. Сенно (продукция с пониженным содержанием соли, сахара, жиров, обогащённых витаминами, микроэлементами, с добавлением солода ржаного ферментативного, с добавлением мёда сахарного янтарного, с отрубями и др.).  </w:t>
      </w:r>
    </w:p>
    <w:p w14:paraId="4878CEB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предприятиях торговли района   функционирует 65 (95,5%) отделов «Здорового питания», где в реализации постоянно имеются продукты здорового питания.</w:t>
      </w:r>
    </w:p>
    <w:p w14:paraId="5D9E3B88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Йодированная соль во всех объектах торговой сети, а в достаточном количестве и постоянно,</w:t>
      </w:r>
      <w:r>
        <w:rPr>
          <w:rFonts w:eastAsia="Calibri"/>
          <w:sz w:val="28"/>
          <w:szCs w:val="28"/>
        </w:rPr>
        <w:t xml:space="preserve"> удельный вес </w:t>
      </w:r>
      <w:r>
        <w:rPr>
          <w:sz w:val="28"/>
          <w:szCs w:val="28"/>
        </w:rPr>
        <w:t xml:space="preserve">реализованной </w:t>
      </w:r>
      <w:r>
        <w:rPr>
          <w:rFonts w:eastAsia="Calibri"/>
          <w:sz w:val="28"/>
          <w:szCs w:val="28"/>
        </w:rPr>
        <w:t xml:space="preserve">йодированной соли составляет </w:t>
      </w:r>
      <w:r>
        <w:rPr>
          <w:sz w:val="28"/>
          <w:szCs w:val="28"/>
        </w:rPr>
        <w:t>86,9%</w:t>
      </w:r>
      <w:r>
        <w:rPr>
          <w:rFonts w:eastAsia="Calibri"/>
          <w:sz w:val="28"/>
          <w:szCs w:val="28"/>
        </w:rPr>
        <w:t xml:space="preserve">, в 2021 году </w:t>
      </w:r>
      <w:r>
        <w:rPr>
          <w:sz w:val="28"/>
          <w:szCs w:val="28"/>
        </w:rPr>
        <w:t>83,7</w:t>
      </w:r>
      <w:r>
        <w:rPr>
          <w:rFonts w:eastAsia="Calibri"/>
          <w:sz w:val="28"/>
          <w:szCs w:val="28"/>
        </w:rPr>
        <w:t>% от общего количества.   При производстве хлебобулочных, кондитерских, колбасных изделий, д</w:t>
      </w:r>
      <w:r>
        <w:rPr>
          <w:sz w:val="28"/>
          <w:szCs w:val="28"/>
        </w:rPr>
        <w:t xml:space="preserve">ля приготовления готовых блюд на предприятиях общественного питания </w:t>
      </w:r>
      <w:r>
        <w:rPr>
          <w:rFonts w:eastAsia="Calibri"/>
          <w:sz w:val="28"/>
          <w:szCs w:val="28"/>
        </w:rPr>
        <w:t>используется йодированная соль в 100% случаев.</w:t>
      </w:r>
    </w:p>
    <w:p w14:paraId="1A5EC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10 лет в районе не регистрировались случаи пищевых отравлений, связанных с предприятиями пищевой промышленности, общественного питания.</w:t>
      </w:r>
    </w:p>
    <w:p w14:paraId="41AF6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 району на объектах реализации и производства продуктов питания продолжают  выявляться нарушения требуемых законодательных гигиенических требований, что является сдерживающим фактором по достижению и социально-экономического устойчивости в области здоровья населения, основными из которых являются: отсутствие информации на товаре о сроках годности и дате изготовления; нарушения хранения готовых и сырых пищевых продуктов; несоблюдение температурного режима при хранении и реализации пищевых продуктов.    </w:t>
      </w:r>
    </w:p>
    <w:p w14:paraId="01B2F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Устойчивое развитие территории по вопросам профилактики болезней обеспечивается гигиенической и эпидемиологической надежностью сырьевых зон перерабатывающих предприятий, в связи с чем все молочно-товарные фермы района   охвачены контролем.   </w:t>
      </w:r>
    </w:p>
    <w:p w14:paraId="4A039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Задачи: </w:t>
      </w:r>
      <w:r>
        <w:rPr>
          <w:sz w:val="28"/>
          <w:szCs w:val="28"/>
        </w:rPr>
        <w:t>совершенствование надзора за соблюдением законодательства в области санитарно-эпидемиологического благополучия населения при обращении продовольственного сырья и пищевых продуктов, в том числе с использованием мер предупредительного и профилактического характера, мероприятий технического (технологического, поверочного) характера по отбору проб и образцов продукции на всех этапах ее обращения, в том числе импортного производства; усиление межведомственного взаимодействия с субъектами (объектами) социально-экономической деятельности для достижения показателей ЦУР в рамках работы межведомственной группы по контролю за оборотом продукции в Сенненском районе; обеспечение эффективного государственного санитарного надзора за молоко-, мясоперерабатывающими  предприятиями района – ОАО «Сенненские сыры», колбасный цех Сенненского филиала Витебского облпо с целью содействия экспорту продукции отечественных производителей и недопущения обращения на внутреннем рынке недоброкачественной продукции; инициирование производителей на  выпуск продукции с пониженным содержанием соли, сахара, жира, использование йодированной соли в производстве пищевых продуктов – хлебозавод Сенненского филиала Витебского облпо; расширение  в торговой сети оборудования  отделов «Здорового питания» - торговый объекты  ООО «Санта-Ритейл», ОАО «Евроторг», ЗАО «Доброном»;   проведение активной информационной, образовательной и разъяснительной работы по санитарно-эпидемиологическим требованиям, в том  числе семинаров, семинаров-практикумов, учеб, мастер-классов для различных категорий работников субъектов торговли и общественного питания на постоянной основе.</w:t>
      </w:r>
    </w:p>
    <w:p w14:paraId="100DB777">
      <w:pPr>
        <w:rPr>
          <w:sz w:val="28"/>
          <w:szCs w:val="28"/>
        </w:rPr>
      </w:pPr>
    </w:p>
    <w:bookmarkEnd w:id="6"/>
    <w:p w14:paraId="7943FF4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 Гигиена коммунально-бытового обеспечения населения</w:t>
      </w:r>
    </w:p>
    <w:p w14:paraId="6434A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питьевого водоснабжения в районе используются 266 подземных источников водоснабжения, 67 коммунальных и 93 ведомственных водопроводов, 365 общественных шахтных колодца. Обеспеченность населения питьевой водой из централизованных систем водоснабжения на конец 2024 года составила 85,1% (в 2023г. – 85,1%).</w:t>
      </w:r>
    </w:p>
    <w:p w14:paraId="52B26660">
      <w:pPr>
        <w:ind w:firstLine="709"/>
        <w:jc w:val="both"/>
        <w:rPr>
          <w:sz w:val="28"/>
          <w:szCs w:val="28"/>
        </w:rPr>
      </w:pP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Исходная вода из артезианских скважин характеризуется повышенным содержанием железа, что обусловлено гидрогеологическими особенностями водоносных горизонтов на территории района.</w:t>
      </w:r>
    </w:p>
    <w:p w14:paraId="210E4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района функционирует четырнадцать станций обезжелезивания. </w:t>
      </w:r>
    </w:p>
    <w:p w14:paraId="3C46C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мероприятий подпрограммы 5 «Чистая вода» Государственной программы «Комфортное жилье и благоприятная среда» на 2021–2025 годы для улучшения качества питьевой воды 2024 году построены и введены в эксплуатацию две станции обезжелезивания в аг.Яново, аг.Пламя. </w:t>
      </w:r>
    </w:p>
    <w:p w14:paraId="015F4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Витебского областного Совета депутатов от 30 декабря 2020 года № 184 «Об утверждении Инвестиционной программы Витебской области на 2021 год» (в редакции 2021г.) на территории района на период 2023-2024гг. планируется строительство пяти станций обезжелезивания в населенных пунктах н.п.Новая Оболь. </w:t>
      </w:r>
    </w:p>
    <w:p w14:paraId="3E2B1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Ведется планомерная работа по замене изношенных сетей водоснабжения, износ отдельных участков которых составляет до 90%. </w:t>
      </w:r>
    </w:p>
    <w:p w14:paraId="164ABA4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 общей за последние пять лет положительной динамике качества воды из ведомственных хозяйственно-питьевых водопроводов по микробиологическим характеристикам в 2024 году удельный вес нестандартных проб составил 0% (2020-2022 год - 0%,).  Удельный вес нестандартных проб воды из коммунальных водопроводов по санитарно-химическим показателям в 2024 году уменьшился и составил 2,04% (в 2023 году 6,49%).  На ведомственных хозяйственно-питьевых водопроводах в 2024 году по сравнению с 2023 годом удельный вес нестандартных проб воды по санитарно-химическим показателям уменьшился (с 10 % до 0 %).</w:t>
      </w:r>
    </w:p>
    <w:p w14:paraId="4BD841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 части содержания объектов водоснабжения выявлялись в 66%, наибольший процент нарушений касается ремонта ограждений ЗСО, территория не содержится в чистоте, павильоны водозаборных скважин не оборудован заводской крышкой, не закрывается на замок.  </w:t>
      </w:r>
    </w:p>
    <w:p w14:paraId="42500F8F">
      <w:pPr>
        <w:ind w:firstLine="709"/>
        <w:jc w:val="both"/>
        <w:rPr>
          <w:sz w:val="28"/>
          <w:szCs w:val="28"/>
        </w:rPr>
      </w:pP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Важной особенностью   водообеспечения населения района является   большое количество населенных пунктов с численностью проживающего населения до 10 человек – 41%. Соответственно отсутствует экономическая целесообразность организации централизованного водоснабжения данных населенных пунктов. Значимым условием в малых населенных пунктах является дальнейшее уменьшение численности населения в них, соответственно уменьшением числа пользователей воды из децентрализованных источников водоснабжения, и как следствие, уменьшения разбора воды. Это ведет к необходимости дополнительных работ по объему и кратности с целью недопущения ухудшения качества воды этих источников.</w:t>
      </w:r>
    </w:p>
    <w:p w14:paraId="1471B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питьевой воды в колодцах в районе в 2023 году по микробиологическим показателям снизилось до 0% с 0,36% в 2022 году, удельный вес нестандартных проб по санитарно-химическим показателям снизился в 2023 году и составил 1,29% (2022- 2,82%).</w:t>
      </w:r>
    </w:p>
    <w:p w14:paraId="687C9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Загрязненность нитратами в 2023году регистрировалась в 2,63%   обследованных в плановом порядке колодцев, в сравнении с 2022 (11,39%) годом процент снизился в 8,76 раз.</w:t>
      </w:r>
    </w:p>
    <w:p w14:paraId="0F68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Сенненском РУП ЖКХ организована специализированная бригада по обслуживанию колодцев, в связи с чем благоустройство нецентрализованных источников водоснабжения проводится своевременно.</w:t>
      </w:r>
    </w:p>
    <w:p w14:paraId="6449474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Задачи:</w:t>
      </w:r>
      <w:r>
        <w:rPr>
          <w:sz w:val="28"/>
          <w:szCs w:val="28"/>
        </w:rPr>
        <w:t xml:space="preserve"> работа с органами исполнительной власти по реализации мероприятий по обеспечению населения района качественной питьевой водой в части строительства станций обезжелезивания (подпрограммы «Чистая вода» программы «Комфортное жилье и благоприятная среда») - строительство станций обезжелезивания в аг. Немойта; обеспечение эффективной работы действующих станций обезжелезивания  Филиал «Лепельводоканал» УП «Витебскоблводоканал»; контроль выполнение порядка санитарной обработки сооружений и сетей систем централизованного хозяйственно-питьевого водоснабжения, соблюдение технологических регламентов по содержанию и обслуживанию водопроводов;  максимальный охват лабораторными исследованиями (в том числе на содержание нитратов) общественных нецентрализованных источников питьевого водоснабжения; обязательный охват общественных нецентрализованных источников питьевого водоснабжения лабораторными исследованиями на содержание нитратов в населенных пунктах с проживанием детей до трех лет (2 населенных пункта по району);  завершение обследования (совместно с сельскими исполкомами) индивидуальных шахтных колодцев, расположенных в населенных пунктах, не обеспеченных централизованным хозяйственно-питьевым водоснабжением, и исследования воды по показателям безопасности; разработка информационной стратегии работы с населением по вопросам воды и здоровья, в первую очередь с применением информационного ресурса глобальной сети интернет.   </w:t>
      </w:r>
    </w:p>
    <w:p w14:paraId="6A40E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 Гигиена радиационной защиты населения</w:t>
      </w:r>
    </w:p>
    <w:p w14:paraId="57EBC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Сенненского района 1 организация использует в своей работе источники ионизирующего излучения (далее – ИИИ) - УЗ «Сенненская ЦРБ».  Всего медицинские учреждения эксплуатируют 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рентгеновских аппаратов и систем.</w:t>
      </w:r>
    </w:p>
    <w:p w14:paraId="0ABC6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персонала на радиационном объекте обеспечивается за счет ограничения допуска к работе по возрасту, состоянию здоровья, наличием соответствующей квалификации, использованием средств индивидуальной защиты, соблюдением требований радиационной и техники безопасности.</w:t>
      </w:r>
    </w:p>
    <w:p w14:paraId="7969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Безопасность пациентов достигается за счет направления пациентов на рентгенологические исследования по обоснованным клиническим показаниям с учётом рисков отдалённых последствий, правильностью выбора объёма и вида исследований, квалификацией специалистов, ограничения временем и расстоянием при проведении исследований, учетом значений индивидуальной эффективной дозы пациента с целью предотвращения необоснованного повторного облучения, обязательным применением средств индивидуальной защиты, прошедших контроль защитной эффективности.</w:t>
      </w:r>
    </w:p>
    <w:p w14:paraId="5B662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 организаций, использующих в своей работе ИИИ, полностью охвачен индивидуальным дозиметрическим контролем (далее - ИДК) в соответствии с требованиями ТНПА. В 2021 году на ИДК состояли - 12 человек.</w:t>
      </w:r>
    </w:p>
    <w:p w14:paraId="7853EE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Заключение: радиационная обстановка в 2024 году на территории Сенненского района остаётся без изменений; ситуация в учреждениях, использующих в своей работе источники ионизирующего излучения, остаётся удовлетворительной, стабильной и контролируемой.</w:t>
      </w:r>
    </w:p>
    <w:p w14:paraId="77120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Приоритетное направление деятельности - контроль доз облучения персонала УЗ «Сенненская ЦРБ» в условиях планируемого облучения; контроль качества пищевых продуктов из личных подсобных хозяйств населения.</w:t>
      </w:r>
    </w:p>
    <w:p w14:paraId="2520BB63">
      <w:pPr>
        <w:jc w:val="center"/>
        <w:rPr>
          <w:b/>
          <w:sz w:val="28"/>
          <w:szCs w:val="28"/>
        </w:rPr>
      </w:pPr>
    </w:p>
    <w:p w14:paraId="0A1F0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 Гигиена организаций здравоохранения</w:t>
      </w:r>
    </w:p>
    <w:p w14:paraId="0564F7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01.01.2025 на контроле ГУ «Сенненский РЦГЭ» находится 2 субъекта здравоохранения, 23 объекта государственной формы собственности, осуществляющих медицинскую помощь, в том числе 3 организаций здравоохранения (далее – ОЗ), оказывающих стационарную помощь, 20 – амбулаторно-поликлинических; 1 объект негосударственной формы собственности (1 субъект). </w:t>
      </w:r>
    </w:p>
    <w:p w14:paraId="0D78247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2024 году приоритетным направлением деятельности службы является работа по реализации поручений, содержащихся в распоряжении Президента Республики Беларусь от 02.06.2023 № 89рп «О повышении эффективности работы системы здравоохранения» (далее – распоряжение №89рп). Особое внимание уделяется вопросам инфекционной и эпидемиологической безопасности, в том числе за счет укрепления материально-технической базы ОЗ.</w:t>
      </w:r>
    </w:p>
    <w:p w14:paraId="551B0A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специфики функционирования ОЗ продолжалась реализация мероприятий инфекционного контроля, что позволило обеспечить безопасные условия оказания медицинской помощи пациентам. </w:t>
      </w:r>
    </w:p>
    <w:p w14:paraId="09753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соблюдения санитарно-эпидемиологического законодательства и осуществления государственного-санитарного надзора за ОЗ, рассмотрены с принятием решения на 4 заседаниях медико-санитарного совета, 4 совместных производственных совещаниях. </w:t>
      </w:r>
    </w:p>
    <w:p w14:paraId="712B0B15">
      <w:pPr>
        <w:pStyle w:val="41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специалистами ОЗ по вопросам санитарно-эпидемиологического законодательства, в том числе по вопросам организации питания, проведены 2 обучающих занятий с отработкой практических навыков, 10 практико-ориентированные обучающие занятия на рабочих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работников больничных и амбулаторно-поликлинических учреждений, скорой неотложной медицинской помощи. Обучением охвачено 165 работника.</w:t>
      </w:r>
    </w:p>
    <w:p w14:paraId="1B5517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в организациях здравоохранения проводились мероприятия по приведению надлежащего санитарно-технического состояния объекта.</w:t>
      </w:r>
    </w:p>
    <w:p w14:paraId="2A84675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качества и доступности медицинской помощи сельскому населению в работу функционирует передвижной мобильный комплекс, выезд которого осуществляется по утвержденному графику. </w:t>
      </w:r>
    </w:p>
    <w:p w14:paraId="347E7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01.01.2025 </w:t>
      </w:r>
      <w:r>
        <w:rPr>
          <w:color w:val="000000"/>
          <w:sz w:val="28"/>
          <w:szCs w:val="28"/>
        </w:rPr>
        <w:t>стерилизация изделий медицинского назначения путем автоклавирования в ЦСО УЗ «Сенненская ЦРБ» проводится централизовано.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Стерилизация воздушным методом проводится децентрализованно в стоматологическом отделении УЗ «Сенненская ЦРБ» в отдельно выделенном помещении. </w:t>
      </w:r>
      <w:r>
        <w:rPr>
          <w:sz w:val="28"/>
          <w:szCs w:val="28"/>
        </w:rPr>
        <w:t xml:space="preserve">Для стерилизации используются два паровых автоклава 2012 года выпуска, 4 сухожаровых шкафа 2012 года выпуска и 1 сухожаровой шкаф 2008 года. Стерилизующее оборудование не превышает срок эксплуатации более 20 лет. </w:t>
      </w:r>
    </w:p>
    <w:p w14:paraId="722CE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контроля за соблюдением требований санитарно-эпидемиологического контроля реализовывалась в ходе контрольных (надзорных) мероприятий, административных обходов. С учетом изменений эпидемиологической ситуацией по инфекции по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 своевременно оказывалась консультативная помощь по вопросам организации/корректировке санитарно-противоэпидемических мероприятий в учреждениях здравоохранения (корректировка </w:t>
      </w:r>
      <w:r>
        <w:rPr>
          <w:color w:val="000000"/>
          <w:sz w:val="28"/>
          <w:szCs w:val="28"/>
        </w:rPr>
        <w:t>плана работы, схемы зонирования, обеспечивающих соблюдение логистики перемещения пациентов и работников и т.д.</w:t>
      </w:r>
      <w:r>
        <w:rPr>
          <w:sz w:val="28"/>
          <w:szCs w:val="28"/>
        </w:rPr>
        <w:t>).</w:t>
      </w:r>
    </w:p>
    <w:p w14:paraId="3F04B0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оказания медицинской помощи населению рассматривалось в рамках проведения Дня Совета по с обсуждением условий проживания граждан и проблемных вопросов жизнеобеспечения (за 2024 год проведены на территории всех восьми сельских исполнительных комитетов). </w:t>
      </w:r>
    </w:p>
    <w:p w14:paraId="31E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ОЗ по организации питания пациентов осуществляется с учетом требований, предъявляемых к организации диетического питания. В целом по району процент выполнения среднесуточных норм отдельных продуктов питания выполнен с допустимым отклонением в 10%.</w:t>
      </w:r>
    </w:p>
    <w:p w14:paraId="7A2ED9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надзорных, контрольных мероприятий нарушения выявлялись в 100% в ОЗ государственной и негосударственной формы собственности.</w:t>
      </w:r>
    </w:p>
    <w:p w14:paraId="72567F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санитарное состояние и благоустройство территорий ОЗ оценивалось удовлетворительно, отдельные нарушения выявлялись в </w:t>
      </w:r>
      <w:r>
        <w:rPr>
          <w:iCs/>
          <w:sz w:val="28"/>
          <w:szCs w:val="28"/>
        </w:rPr>
        <w:t>21,7%.</w:t>
      </w:r>
    </w:p>
    <w:p w14:paraId="7B5CEE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санитарно-технического состояния и содержания помещений, мебели выявлялись в </w:t>
      </w:r>
      <w:r>
        <w:rPr>
          <w:iCs/>
          <w:sz w:val="28"/>
          <w:szCs w:val="28"/>
        </w:rPr>
        <w:t xml:space="preserve">26,1% </w:t>
      </w:r>
      <w:r>
        <w:rPr>
          <w:sz w:val="28"/>
          <w:szCs w:val="28"/>
        </w:rPr>
        <w:t xml:space="preserve">ОЗ; соблюдения порядка проведения уборок, бельевого режима – в </w:t>
      </w:r>
      <w:r>
        <w:rPr>
          <w:iCs/>
          <w:sz w:val="28"/>
          <w:szCs w:val="28"/>
        </w:rPr>
        <w:t>34,8%</w:t>
      </w:r>
      <w:r>
        <w:rPr>
          <w:sz w:val="28"/>
          <w:szCs w:val="28"/>
        </w:rPr>
        <w:t xml:space="preserve">%; проведения дезинфекционно-стерилизационных мероприятий – в </w:t>
      </w:r>
      <w:r>
        <w:rPr>
          <w:iCs/>
          <w:sz w:val="28"/>
          <w:szCs w:val="28"/>
        </w:rPr>
        <w:t>34,8</w:t>
      </w:r>
      <w:r>
        <w:rPr>
          <w:sz w:val="28"/>
          <w:szCs w:val="28"/>
        </w:rPr>
        <w:t xml:space="preserve">%; соблюдение </w:t>
      </w:r>
      <w:r>
        <w:rPr>
          <w:iCs/>
          <w:sz w:val="28"/>
          <w:szCs w:val="28"/>
        </w:rPr>
        <w:t>условий для соблюдения гигиены рук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– 7 (30,4%);</w:t>
      </w:r>
      <w:r>
        <w:rPr>
          <w:sz w:val="28"/>
          <w:szCs w:val="28"/>
        </w:rPr>
        <w:t xml:space="preserve"> организации питания пациентов – в 100% больничных ОЗ; иные нарушения – в </w:t>
      </w:r>
      <w:r>
        <w:rPr>
          <w:iCs/>
          <w:sz w:val="28"/>
          <w:szCs w:val="28"/>
        </w:rPr>
        <w:t>43,4%.</w:t>
      </w:r>
    </w:p>
    <w:p w14:paraId="37292CA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марте 2024 года в УЗ «Сенненская ЦРБ» проводилась медицинская аккредитация субъекта и ее объектов. В мае и декабре 2024 года организацией здравоохранения было подано повторное заявление на проведение медицинской аккредитации. Оценка соответствия помещений государственных организаций здравоохранения и созданных в них условий требованиям законодательства в области санитарно-эпидемиологического благополучия населения проводилась в соответствии с Перечнем (15 критериев соответствия) утвержденным приказом МЗ РБ №126 от 25.01.2024г (с изменениями приказ МЗ РБ №1030 от 25.07.2024г «Об изменении приказа Министерства здравоохранения Республики Беларусь от 25.01.2024г №126»).</w:t>
      </w:r>
    </w:p>
    <w:p w14:paraId="41A2DE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часть выявленных нарушений составила: отсутствие системы водоотведения (канализации) на 5 ФАПах, отсутствие резервного горячего водоснабжения, несоблюдения требований к внутренней отделке помещений, в том числе окон, отсутствие условий для проведения дезинфекции и ПСО, </w:t>
      </w:r>
      <w:r>
        <w:rPr>
          <w:rStyle w:val="18"/>
          <w:sz w:val="28"/>
          <w:szCs w:val="28"/>
        </w:rPr>
        <w:t xml:space="preserve">отсутствие </w:t>
      </w:r>
      <w:r>
        <w:rPr>
          <w:sz w:val="28"/>
          <w:szCs w:val="28"/>
        </w:rPr>
        <w:t xml:space="preserve">условий для обработки, сушки и хранения уборочного инвентаря. Нарушения в течении 2024 года были устранены.     </w:t>
      </w:r>
    </w:p>
    <w:p w14:paraId="203CF5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последней медицинской аккредитации положительное заключение о соответствии помещений и созданных в них условий требованиям законодательства в области санитарно-эпидемиологического благополучия населения выдано всем объектам УЗ «Сенненская ЦРБ». </w:t>
      </w:r>
    </w:p>
    <w:p w14:paraId="5DA46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внутреннего контроля соблюдения требований при организации питания пациентов способствовало снижению нарушений текущего характера, повторных нарушений. Основными несоответствиями требованиям санитарно-эпидемиологического законодательства являлись неудовлетворительное санитарно-гигиеническое состояние помещений пищеблока. </w:t>
      </w:r>
    </w:p>
    <w:p w14:paraId="07873F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2024 проведена оценка готовности пищеблоков к оказанию услуг по приготовлению питания пациентов с заполнением паспортов готовности. В целом функционирование пищеблоков, с учетом компенсирующих мероприятий по отдельным вопросам, осуществляется в соответствии с требованиями нормативных документов в области общественного питания, обеспечена готовность к оказанию услуг по приготовлению пищи.</w:t>
      </w:r>
    </w:p>
    <w:p w14:paraId="6A988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в ОЗ процент выполнения среднесуточных норм продуктов питания в 2024 году составил более 90%, в том числе: овощи – 100%, картофель – </w:t>
      </w:r>
      <w:r>
        <w:rPr>
          <w:rFonts w:eastAsia="Calibri"/>
          <w:color w:val="000000"/>
          <w:sz w:val="28"/>
          <w:szCs w:val="28"/>
        </w:rPr>
        <w:t>101,67</w:t>
      </w:r>
      <w:r>
        <w:rPr>
          <w:sz w:val="28"/>
          <w:szCs w:val="28"/>
        </w:rPr>
        <w:t>%, мясо – 97,0%, рыба – 99,33%, творог – 98,0%, яйцо – 96,67%, молоко – 93,0%, сметана – 96,0%.</w:t>
      </w:r>
    </w:p>
    <w:p w14:paraId="77D05C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программой производственного лабораторного контроля за 2024 год проведено 250 исследований  материала на стерильность, 344 (в т.ч 85 по пищеблокам) исследований с объектов внешней среды на санитарно - показательную микрофлору, 44 пробы готовой продукции на </w:t>
      </w:r>
      <w:r>
        <w:rPr>
          <w:color w:val="000000"/>
          <w:sz w:val="28"/>
          <w:szCs w:val="28"/>
        </w:rPr>
        <w:t>микробиологические показатели</w:t>
      </w:r>
      <w:r>
        <w:rPr>
          <w:sz w:val="28"/>
          <w:szCs w:val="28"/>
        </w:rPr>
        <w:t xml:space="preserve">, 20 проб на </w:t>
      </w:r>
      <w:r>
        <w:rPr>
          <w:color w:val="000000"/>
          <w:sz w:val="28"/>
          <w:szCs w:val="28"/>
        </w:rPr>
        <w:t>пищевую и энергетическую ценность</w:t>
      </w:r>
      <w:r>
        <w:rPr>
          <w:sz w:val="28"/>
          <w:szCs w:val="28"/>
        </w:rPr>
        <w:t>, 4 пробы воды по микробиологическим показателям. Проводится контроль эффективности работы стерилизационного оборудования с применением бактериологических тестов. Выполнено 103 исследований. Исследованные образцы соответствуют требованиям ТНПА.</w:t>
      </w:r>
    </w:p>
    <w:p w14:paraId="0F89B4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производственного контроля за 2024 г. выполнена в полном объеме</w:t>
      </w:r>
      <w:r>
        <w:rPr>
          <w:bCs/>
          <w:sz w:val="28"/>
          <w:szCs w:val="28"/>
        </w:rPr>
        <w:t xml:space="preserve">. </w:t>
      </w:r>
    </w:p>
    <w:p w14:paraId="30EFF2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фактам выявленных нарушений выданы 5 предписаний об устранении нарушений. Направлено 5 писем о привлечении к дисциплинарной ответственности, привлечено 11 человек, составлен 1 протокол об административном правонарушении на общую сумму 2БВ. В целом отмечается положительная динамика в устранении нарушений ОЗ в установленные сроки. Текущие несоответствия, не требующие дополнительных финансовых затрат, устранялись в минимальные сроки.</w:t>
      </w:r>
    </w:p>
    <w:p w14:paraId="002958C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Проблемными вопросами остаются – функционирование печного отопления на объектах ОЗ, </w:t>
      </w:r>
      <w:r>
        <w:rPr>
          <w:sz w:val="28"/>
          <w:szCs w:val="28"/>
        </w:rPr>
        <w:t>своевременное проведение текущих ремонтов, замена устаревшей мебели, оборудования в ОЗ</w:t>
      </w:r>
      <w:r>
        <w:rPr>
          <w:color w:val="000000"/>
          <w:sz w:val="28"/>
          <w:szCs w:val="28"/>
        </w:rPr>
        <w:t xml:space="preserve">.   </w:t>
      </w:r>
    </w:p>
    <w:p w14:paraId="0DF51D92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и результативности осуществления государственного надзора за ОЗ, в том числе по обеспечению безопасных и благополучных условий пребывания в ОЗ, деятельность ГУ «Сенненский райЦГЭ» должно быть направлена на продолжение работы по контролю соблюдения требований санитарно-эпидемиологического законодательства в ОЗ; оказание консультативной помощи организациям здравоохранения по вопросам организации/корректировки с учетом, складывающейся санитарно-противоэпидемических мероприятий, внутреннего производственного контроля; совершенствование системы инфекционного контроля в больничных организациях здравоохранения, повышение уровня безопасности оказания медицинской помощи населению; обеспечение результативного государственного санитарного надзора за организацией питания; </w:t>
      </w:r>
      <w:r>
        <w:rPr>
          <w:rFonts w:eastAsia="Calibri"/>
          <w:sz w:val="28"/>
          <w:szCs w:val="28"/>
        </w:rPr>
        <w:t>приведение в соответствие требованиям законодательства санитарно-технического состояния зданий и помещений, инженерных систем организаций здравоохранения, иных мероприятий по улучшению условий оказания медицинской помощи населению.</w:t>
      </w:r>
    </w:p>
    <w:p w14:paraId="6E1F94CB">
      <w:pPr>
        <w:ind w:firstLine="709"/>
        <w:jc w:val="both"/>
        <w:rPr>
          <w:rFonts w:eastAsia="Calibri"/>
          <w:sz w:val="28"/>
          <w:szCs w:val="28"/>
        </w:rPr>
      </w:pPr>
    </w:p>
    <w:p w14:paraId="2BFFA7E7">
      <w:pPr>
        <w:ind w:firstLine="709"/>
        <w:jc w:val="both"/>
        <w:rPr>
          <w:rFonts w:eastAsia="Calibri"/>
          <w:sz w:val="28"/>
          <w:szCs w:val="28"/>
        </w:rPr>
      </w:pPr>
    </w:p>
    <w:p w14:paraId="45273718">
      <w:pPr>
        <w:jc w:val="both"/>
        <w:rPr>
          <w:color w:val="7030A0"/>
          <w:sz w:val="30"/>
          <w:szCs w:val="28"/>
        </w:rPr>
      </w:pPr>
    </w:p>
    <w:p w14:paraId="0F7C2B9B">
      <w:pPr>
        <w:jc w:val="center"/>
        <w:rPr>
          <w:b/>
          <w:sz w:val="28"/>
          <w:szCs w:val="28"/>
        </w:rPr>
      </w:pPr>
      <w:bookmarkStart w:id="7" w:name="_Hlk177139049"/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ОБЕСПЕЧЕНИЕ САНИТАРНО-ПРОТИВОЭПИДЕМИЧЕСКОЙ УСТОЙЧИВОСТИ ТЕРРИТОРИИ</w:t>
      </w:r>
    </w:p>
    <w:p w14:paraId="29A18A50">
      <w:pPr>
        <w:ind w:firstLine="708"/>
        <w:jc w:val="center"/>
        <w:rPr>
          <w:b/>
          <w:sz w:val="28"/>
          <w:szCs w:val="28"/>
        </w:rPr>
      </w:pPr>
    </w:p>
    <w:p w14:paraId="3543F0F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 Эпидемиологический анализ инфекционной заболеваемости</w:t>
      </w:r>
    </w:p>
    <w:p w14:paraId="0A7FD54D">
      <w:pPr>
        <w:ind w:firstLine="708"/>
        <w:jc w:val="center"/>
        <w:rPr>
          <w:b/>
          <w:sz w:val="28"/>
          <w:szCs w:val="28"/>
        </w:rPr>
      </w:pPr>
    </w:p>
    <w:p w14:paraId="61D5A7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района в 2024 году зарегистрировано 5640 случаев инфекционных и паразитарных заболеваний, среди которых 5605 случаев вирусной этиологии (99,4%); 18 случаев – микробной этиологии (0,3%) и 17 случаев – паразитарной этиологии (0,3%).</w:t>
      </w:r>
    </w:p>
    <w:p w14:paraId="6FBE472C">
      <w:pPr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20</w:t>
      </w:r>
    </w:p>
    <w:tbl>
      <w:tblPr>
        <w:tblStyle w:val="34"/>
        <w:tblW w:w="14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1000"/>
        <w:gridCol w:w="1000"/>
        <w:gridCol w:w="1843"/>
        <w:gridCol w:w="1843"/>
        <w:gridCol w:w="1768"/>
        <w:gridCol w:w="1768"/>
      </w:tblGrid>
      <w:tr w14:paraId="7A12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52C6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Болезни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766F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54796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8A0B">
            <w:pPr>
              <w:tabs>
                <w:tab w:val="left" w:pos="720"/>
                <w:tab w:val="left" w:pos="3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Среднее значение за период </w:t>
            </w:r>
          </w:p>
          <w:p w14:paraId="1A4B9CC1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color w:val="000000"/>
              </w:rPr>
              <w:t>2015-2024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EF01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Темп прироста</w:t>
            </w:r>
          </w:p>
          <w:p w14:paraId="6F88C4F7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2024/2023, %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E900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 среднего </w:t>
            </w:r>
          </w:p>
          <w:p w14:paraId="6CF91C22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прироста</w:t>
            </w:r>
          </w:p>
          <w:p w14:paraId="2BB92D7A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2015-2024, %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141E">
            <w:pPr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Динамика</w:t>
            </w:r>
          </w:p>
        </w:tc>
      </w:tr>
      <w:tr w14:paraId="5AC5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25AFEA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Острые инфекции верхних дыхательных путей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6DF7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29752,0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5AED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30485,4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5DAC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28970,4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E1E06E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+2,5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6BCDD9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1,8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0BD038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динамика не устойчивая</w:t>
            </w:r>
          </w:p>
        </w:tc>
      </w:tr>
      <w:tr w14:paraId="08B4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DC6ACF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Грипп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618F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AD66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84EDD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0509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0217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2F20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</w:p>
        </w:tc>
      </w:tr>
      <w:tr w14:paraId="2826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4F47D0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Грипп + ОИВДП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BAAD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29752,0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3699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30485,4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A147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28970,4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7B4474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+2,5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FDEAD1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1,8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96C033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динамика не устойчивая</w:t>
            </w:r>
          </w:p>
        </w:tc>
      </w:tr>
      <w:tr w14:paraId="12C7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1F35CA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Венерические болезни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6D73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37,2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9584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4D7F6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122,4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C065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+2,4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BB8E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-16,2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ABE6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умеренное ↓</w:t>
            </w:r>
          </w:p>
        </w:tc>
      </w:tr>
      <w:tr w14:paraId="3B4F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09B26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Воздушно-капельные инфекции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F77D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6BD3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300C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4955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-31,7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8206E3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-8,1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B03821B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динамика не устойчивая</w:t>
            </w:r>
          </w:p>
        </w:tc>
      </w:tr>
      <w:tr w14:paraId="6024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442ABD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Паразитарные болезни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86DD4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37,2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1755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0546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E165C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+46,2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9247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-2,2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4704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динамика не устойчивая</w:t>
            </w:r>
          </w:p>
        </w:tc>
      </w:tr>
      <w:tr w14:paraId="1F4D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57E758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Инфекции кожи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115B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47,8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A99A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27D6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2EBF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-20,2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E18E6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-10,6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876C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умеренное ↓</w:t>
            </w:r>
          </w:p>
        </w:tc>
      </w:tr>
      <w:tr w14:paraId="5C5D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43000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Кишечные инфекции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1B50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E7F17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7691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6394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+28,3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16E2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+9,8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D9C5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динамика не устойчивая</w:t>
            </w:r>
          </w:p>
        </w:tc>
      </w:tr>
      <w:tr w14:paraId="7503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05E827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Парентеральные инфекции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CE53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10,6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1BCC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5,4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92BE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2C30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-49,1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076D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-30,1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AD43F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динамика не устойчивая</w:t>
            </w:r>
          </w:p>
        </w:tc>
      </w:tr>
      <w:tr w14:paraId="2549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F18267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47877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29969,7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5F45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30692,2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04D3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29291,2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09C597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+2,4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EDFE81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C133D9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динамика не устойчивая</w:t>
            </w:r>
          </w:p>
        </w:tc>
      </w:tr>
      <w:tr w14:paraId="7195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358E1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 без гриппа и ОИВДП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6263">
            <w:pPr>
              <w:shd w:val="clear" w:color="auto" w:fill="FFFFFF" w:themeFill="background1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217,7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6812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B3D7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320,7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18156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-5,0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CB9163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color w:val="FFFFFF" w:themeColor="background1"/>
                <w:lang w:eastAsia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lang w:eastAsia="en-US"/>
              </w:rPr>
              <w:t>-11,5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7613A6">
            <w:pPr>
              <w:shd w:val="clear" w:color="auto" w:fill="FFFFFF" w:themeFill="background1"/>
              <w:tabs>
                <w:tab w:val="left" w:pos="720"/>
                <w:tab w:val="left" w:pos="3900"/>
              </w:tabs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умеренное ↓</w:t>
            </w:r>
          </w:p>
        </w:tc>
      </w:tr>
    </w:tbl>
    <w:p w14:paraId="7736C86A">
      <w:pPr>
        <w:jc w:val="both"/>
        <w:rPr>
          <w:i/>
          <w:iCs/>
          <w:sz w:val="28"/>
          <w:szCs w:val="28"/>
        </w:rPr>
      </w:pPr>
    </w:p>
    <w:p w14:paraId="012821F1">
      <w:pPr>
        <w:jc w:val="both"/>
        <w:rPr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>Рисунок 25</w:t>
      </w:r>
      <w:r>
        <w:t xml:space="preserve"> </w:t>
      </w:r>
      <w:r>
        <w:rPr>
          <w:sz w:val="28"/>
          <w:szCs w:val="28"/>
        </w:rPr>
        <w:t>Структура</w:t>
      </w:r>
      <w:r>
        <w:rPr>
          <w:sz w:val="28"/>
          <w:szCs w:val="28"/>
          <w:lang w:eastAsia="en-US"/>
        </w:rPr>
        <w:t xml:space="preserve"> инфекционной заболеваемости без гриппа и острых инфекций верхних дыхательных путей (%)</w:t>
      </w:r>
    </w:p>
    <w:p w14:paraId="6D14CDC5">
      <w:pPr>
        <w:ind w:firstLine="708"/>
        <w:jc w:val="both"/>
        <w:rPr>
          <w:sz w:val="28"/>
          <w:szCs w:val="28"/>
          <w:lang w:eastAsia="en-US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145415</wp:posOffset>
            </wp:positionV>
            <wp:extent cx="4610100" cy="2466975"/>
            <wp:effectExtent l="0" t="0" r="0" b="9525"/>
            <wp:wrapSquare wrapText="bothSides"/>
            <wp:docPr id="42701226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anchor>
        </w:drawing>
      </w:r>
    </w:p>
    <w:p w14:paraId="61476461">
      <w:pPr>
        <w:ind w:firstLine="708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В структуре общей инфекционной заболеваемости без гриппа и ОРИ в 2024 году преобладают паразитарные болезни – удельный вес составляет 26,3%; второе место – воздушно-капельные – 21,0%; третье место по удельному весу занимают венерические болезни и инфекции кожи – 18,4% (рис.23). </w:t>
      </w:r>
    </w:p>
    <w:p w14:paraId="0AE2D2A8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Снизилась заболеваемость по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 нозологическим</w:t>
      </w:r>
      <w:r>
        <w:rPr>
          <w:sz w:val="28"/>
          <w:szCs w:val="28"/>
        </w:rPr>
        <w:t xml:space="preserve"> формам (острыми кишечные инфекции не установленной этиологии, хроническими гепатитами, скарлатиной, ветряной оспой, менингококковой инфекцией, туберкулёзом, микроспорией, трихомонозом и др.).  </w:t>
      </w:r>
    </w:p>
    <w:p w14:paraId="3AB81C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оптимальных показателей привитости населения района обеспечило эпидблагополучие по группе вакциноуправляемых инфекций.  Высокая иммунная прослойка привитых против гриппа обеспечила отсутствие регистрации случаев гриппа с 2014 года. Привито против гриппа 34,7% населения (6530 человек), в т.ч. за счет средств республиканского бюджета – 13,2% (2489 человек), местного бюджета, собственных средств организаций и личных средств 21,5% (4041 человек).</w:t>
      </w:r>
    </w:p>
    <w:p w14:paraId="44244757">
      <w:pPr>
        <w:tabs>
          <w:tab w:val="left" w:pos="622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2024 г. не зарегистрированы случаи заболеваний дифтерией, паракоклюшем, корью, краснухой, эпидемическим паротитом, менингококковой инфекцией, инфекцией, вызванной вирусом простого герпеса. Наибольший удельный вес в структуре заболеваемости населения воздушно-капельными инфекциями занимает туберкулёз (2024 год – 62,5%).</w:t>
      </w:r>
    </w:p>
    <w:p w14:paraId="3ED1B99C">
      <w:pPr>
        <w:tabs>
          <w:tab w:val="left" w:pos="142"/>
          <w:tab w:val="left" w:pos="284"/>
        </w:tabs>
        <w:jc w:val="both"/>
        <w:rPr>
          <w:color w:val="000000"/>
          <w:spacing w:val="1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sz w:val="30"/>
          <w:szCs w:val="30"/>
          <w:u w:val="single"/>
        </w:rPr>
        <w:t>З</w:t>
      </w:r>
      <w:r>
        <w:rPr>
          <w:rFonts w:eastAsia="Calibri"/>
          <w:sz w:val="28"/>
          <w:szCs w:val="28"/>
          <w:u w:val="single"/>
        </w:rPr>
        <w:t>аболеваемость туберкулезом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в 2024 году составила 27,2 на 100 000 населения (Витебская область-14,4/</w:t>
      </w:r>
      <w:r>
        <w:rPr>
          <w:rFonts w:eastAsia="Calibri"/>
          <w:color w:val="000000"/>
          <w:sz w:val="28"/>
          <w:szCs w:val="28"/>
          <w:vertAlign w:val="subscript"/>
        </w:rPr>
        <w:t>0000</w:t>
      </w:r>
      <w:r>
        <w:rPr>
          <w:rFonts w:eastAsia="Calibri"/>
          <w:color w:val="000000"/>
          <w:sz w:val="28"/>
          <w:szCs w:val="28"/>
        </w:rPr>
        <w:t xml:space="preserve">), прирост к предыдущему году отрицательный (-14,7%), многолетняя динамика за период 2015-2024 годы характеризуется </w:t>
      </w:r>
      <w:r>
        <w:rPr>
          <w:bCs/>
          <w:iCs/>
          <w:sz w:val="28"/>
          <w:szCs w:val="28"/>
        </w:rPr>
        <w:t xml:space="preserve">не устойчивой динамикой с отрицательным </w:t>
      </w:r>
      <w:r>
        <w:rPr>
          <w:color w:val="000000"/>
          <w:spacing w:val="1"/>
          <w:sz w:val="28"/>
          <w:szCs w:val="28"/>
        </w:rPr>
        <w:t xml:space="preserve">темпом среднегодового прироста (-6,6%). </w:t>
      </w:r>
      <w:r>
        <w:rPr>
          <w:rFonts w:eastAsia="Calibri"/>
          <w:color w:val="000000"/>
          <w:sz w:val="28"/>
          <w:szCs w:val="28"/>
        </w:rPr>
        <w:t xml:space="preserve">Показатель ЦУР </w:t>
      </w:r>
      <w:r>
        <w:rPr>
          <w:rFonts w:eastAsia="Calibri"/>
          <w:i/>
          <w:iCs/>
          <w:color w:val="000000"/>
          <w:sz w:val="28"/>
          <w:szCs w:val="28"/>
        </w:rPr>
        <w:t>3.3.2 «Заболеваемость туберкулезом на 100000 человек»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(целевое значение 2025 – 20,43) </w:t>
      </w:r>
      <w:r>
        <w:rPr>
          <w:rFonts w:eastAsia="Calibri"/>
          <w:color w:val="000000"/>
          <w:sz w:val="28"/>
          <w:szCs w:val="28"/>
        </w:rPr>
        <w:t xml:space="preserve">в Сенненском районе выше целевого значения в 1,3 раза. </w:t>
      </w:r>
      <w:r>
        <w:rPr>
          <w:rFonts w:eastAsia="Calibri"/>
          <w:sz w:val="28"/>
          <w:szCs w:val="28"/>
        </w:rPr>
        <w:t>В 2024 году в Сенненском районе умерших от туберкулеза не регистрировалось (Витебская область – 0,8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rFonts w:eastAsia="Calibri"/>
          <w:sz w:val="28"/>
          <w:szCs w:val="28"/>
        </w:rPr>
        <w:t xml:space="preserve">). </w:t>
      </w:r>
      <w:r>
        <w:rPr>
          <w:rFonts w:eastAsia="Calibri"/>
          <w:b/>
          <w:sz w:val="28"/>
          <w:szCs w:val="28"/>
        </w:rPr>
        <w:t xml:space="preserve"> </w:t>
      </w:r>
    </w:p>
    <w:p w14:paraId="0ECA69D2">
      <w:pPr>
        <w:tabs>
          <w:tab w:val="left" w:pos="622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2024 году показатель заболеваемости туберкулезом всего населения регистрировался среди микротерриторий района - Богушевской поликлиники (2 случая), Сенненской ЦРП (3 случая).</w:t>
      </w:r>
    </w:p>
    <w:p w14:paraId="064A5018">
      <w:pPr>
        <w:tabs>
          <w:tab w:val="left" w:pos="622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Заболеваемость туберкулезом в городской местности значительно выше (60,0%), чем в сельской (40,0%).</w:t>
      </w:r>
    </w:p>
    <w:p w14:paraId="6BEF6209">
      <w:pPr>
        <w:tabs>
          <w:tab w:val="left" w:pos="622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Охват рентгено-флюорографическим обследованием «обязательного» контингента составил 100%. Охват вакцинацией против туберкулеза детей до 1 года - 99,2%.</w:t>
      </w:r>
    </w:p>
    <w:p w14:paraId="5990F1B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роведение на территории района комплекса мероприятий по выполнению Программы иммунопрофилактики в соответствии с национальным календарем позволило за последние 5 лет обеспечить охват вакцинацией детского и взрослого населения на оптимальных уровнях, рекомендованных Всемирной организацией здравоохранения (не менее 97% детей и 95% взрослых). </w:t>
      </w:r>
    </w:p>
    <w:p w14:paraId="28971D9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u w:val="single"/>
        </w:rPr>
        <w:t>Заболеваемости населения паразитарными болезнями.</w:t>
      </w:r>
      <w:r>
        <w:rPr>
          <w:rFonts w:eastAsia="Calibri"/>
          <w:sz w:val="28"/>
          <w:szCs w:val="28"/>
        </w:rPr>
        <w:t xml:space="preserve"> За период 2015-2024 гг. не зарегистрированы случаи заболеваний описторхозом, трихинеллёзом, тениидозом, дифиллоботриозом, гименолепидозом, что свидетельствует о благополучной эпидемиологической ситуации. С 2017 года показатель заболеваемости паразитарными болезнями формировался за счёт случаев энтеробиоза. </w:t>
      </w:r>
      <w:r>
        <w:rPr>
          <w:rFonts w:eastAsia="Calibri"/>
          <w:bCs/>
          <w:sz w:val="28"/>
          <w:szCs w:val="28"/>
        </w:rPr>
        <w:t>Заболеваемость аскаридозом, трихоцефалёзом не регистрируется более 5 лет.</w:t>
      </w:r>
    </w:p>
    <w:p w14:paraId="48578864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2024 году зарегистрировано случаев </w:t>
      </w:r>
      <w:r>
        <w:rPr>
          <w:bCs/>
          <w:sz w:val="28"/>
          <w:szCs w:val="28"/>
          <w:u w:val="single"/>
        </w:rPr>
        <w:t>ИППП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3,1 раза меньше, чем в 2021 году и в 4 раза меньше, чем в 2015 году (2024 – 38,1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>; в 2015 –125,3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 xml:space="preserve">).  Эпидемиологический процесс по венерическим болезням в Сенненском районе не имеет территориальных особенностей. </w:t>
      </w:r>
      <w:r>
        <w:rPr>
          <w:rFonts w:eastAsia="Calibri"/>
          <w:sz w:val="28"/>
          <w:szCs w:val="28"/>
        </w:rPr>
        <w:t xml:space="preserve"> Наибольший удельный вес в 2024 году в структуре заболеваемости населения венерическими болезнями занимает сифилис 57,1% (2015 год – 3,6%), второе место трихомоноз 42,9% (2015 год – 75,0%).</w:t>
      </w:r>
    </w:p>
    <w:p w14:paraId="6118504C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Распространенность ВИЧ-инфицирования</w:t>
      </w:r>
    </w:p>
    <w:p w14:paraId="7CCD69F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6F68352C">
      <w:pPr>
        <w:tabs>
          <w:tab w:val="left" w:pos="720"/>
          <w:tab w:val="left" w:pos="3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Показатель ЦУР 3.3.1 «Число новых заражений ВИЧ на 1000 неинфицированных в разбивке по полу и возрасту» по району и области составил 0,05‰, целевое значение в 2024 году достигнуто (0,20‰). За период наблюдения с 1987 года на 01.01.2024 года в районе зарегистрировано 34 случая ВИЧ-инфекции, показатель распространенности составил 182,5</w:t>
      </w:r>
      <w:r>
        <w:rPr>
          <w:iCs/>
          <w:sz w:val="28"/>
          <w:szCs w:val="28"/>
          <w:vertAlign w:val="superscript"/>
        </w:rPr>
        <w:t>0</w:t>
      </w:r>
      <w:r>
        <w:rPr>
          <w:iCs/>
          <w:sz w:val="28"/>
          <w:szCs w:val="28"/>
        </w:rPr>
        <w:t>/</w:t>
      </w:r>
      <w:r>
        <w:rPr>
          <w:iCs/>
          <w:sz w:val="28"/>
          <w:szCs w:val="28"/>
          <w:vertAlign w:val="subscript"/>
        </w:rPr>
        <w:t>0000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По показателю распространённости район занимает 12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место среди районов области и не входит в число наиболее неблагоприятных.</w:t>
      </w:r>
    </w:p>
    <w:p w14:paraId="0BCCDB97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4D10D40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Рисунок 26      </w:t>
      </w:r>
      <w:r>
        <w:rPr>
          <w:rFonts w:eastAsia="Calibri"/>
          <w:sz w:val="28"/>
          <w:szCs w:val="28"/>
        </w:rPr>
        <w:t>Динамика впервые выявленной заболеваемости ВИЧ-инфекции (1000 населения).</w:t>
      </w:r>
    </w:p>
    <w:p w14:paraId="19A39FF0">
      <w:pPr>
        <w:jc w:val="both"/>
        <w:rPr>
          <w:sz w:val="28"/>
          <w:szCs w:val="28"/>
        </w:rPr>
      </w:pPr>
      <w:r>
        <w:drawing>
          <wp:inline distT="0" distB="0" distL="0" distR="0">
            <wp:extent cx="8991600" cy="1762125"/>
            <wp:effectExtent l="0" t="0" r="0" b="9525"/>
            <wp:docPr id="199773134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043985C9">
      <w:pPr>
        <w:tabs>
          <w:tab w:val="left" w:pos="720"/>
          <w:tab w:val="left" w:pos="3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многолетней динамике заболеваемости ВИЧ-инфекцией (рис.23) за период 2015-2024 годы по Сенненскому району прослеживается </w:t>
      </w:r>
      <w:r>
        <w:rPr>
          <w:rFonts w:eastAsia="Calibri"/>
          <w:color w:val="000000"/>
          <w:sz w:val="28"/>
          <w:szCs w:val="28"/>
        </w:rPr>
        <w:t xml:space="preserve">многолетняя динамика за период 2015-2024 годы характеризуется </w:t>
      </w:r>
      <w:r>
        <w:rPr>
          <w:bCs/>
          <w:iCs/>
          <w:sz w:val="28"/>
          <w:szCs w:val="28"/>
        </w:rPr>
        <w:t xml:space="preserve">не устойчивой динамикой с отрицательным </w:t>
      </w:r>
      <w:r>
        <w:rPr>
          <w:color w:val="000000"/>
          <w:spacing w:val="1"/>
          <w:sz w:val="28"/>
          <w:szCs w:val="28"/>
        </w:rPr>
        <w:t xml:space="preserve">темпом среднегодового прироста (-3,6%). </w:t>
      </w:r>
      <w:r>
        <w:rPr>
          <w:sz w:val="28"/>
          <w:szCs w:val="28"/>
        </w:rPr>
        <w:t>Показатель смертности в 4 стадии за 2024 год составил 0 (по области – 2,4</w:t>
      </w:r>
      <w:r>
        <w:rPr>
          <w:iCs/>
          <w:sz w:val="28"/>
          <w:szCs w:val="28"/>
          <w:vertAlign w:val="superscript"/>
        </w:rPr>
        <w:t>0</w:t>
      </w:r>
      <w:r>
        <w:rPr>
          <w:iCs/>
          <w:sz w:val="28"/>
          <w:szCs w:val="28"/>
        </w:rPr>
        <w:t>/</w:t>
      </w:r>
      <w:r>
        <w:rPr>
          <w:iCs/>
          <w:sz w:val="28"/>
          <w:szCs w:val="28"/>
          <w:vertAlign w:val="subscript"/>
        </w:rPr>
        <w:t>0000</w:t>
      </w:r>
      <w:r>
        <w:rPr>
          <w:sz w:val="28"/>
          <w:szCs w:val="28"/>
        </w:rPr>
        <w:t xml:space="preserve">). Достигнуты прогнозные показатели по охвату АРВТ – 73,2%, (прогнозный показатель – 80,0%). Не регистрировалась ВИЧ – инфекция у детей, рождённых от ВИЧ - позитивных матерей. </w:t>
      </w:r>
    </w:p>
    <w:p w14:paraId="2DCE2C0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Острые кишечные инфекции (ОКИ).</w:t>
      </w:r>
      <w:r>
        <w:rPr>
          <w:sz w:val="28"/>
          <w:szCs w:val="28"/>
        </w:rPr>
        <w:t xml:space="preserve"> Своевременное проведение санитарно-противоэпидемических и профилактических мероприятий, выявление нарушений требований санитарно-эпидемиологического законодательства на эпидзначимых объектах способствовали недопущению значительного роста заболеваемости ОКИ. Увеличение произошло за счет других сальмонеллёзных инфекций. За 2024 год зарегистрировано 5 случаев (27,2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>), в 2015 году – 3 случая (13,4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>). Многолетняя динамика заболеваемости сальмонеллезами за последние 10 лет наблюдения имеет тенденцию к стабилизации.</w:t>
      </w:r>
    </w:p>
    <w:p w14:paraId="597C421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Парентеральные инфекции.</w:t>
      </w:r>
      <w:r>
        <w:rPr>
          <w:sz w:val="28"/>
          <w:szCs w:val="28"/>
        </w:rPr>
        <w:t xml:space="preserve"> В 2024 году зарегистрировано </w:t>
      </w:r>
      <w:r>
        <w:rPr>
          <w:rFonts w:eastAsia="Calibri"/>
          <w:sz w:val="28"/>
          <w:szCs w:val="28"/>
        </w:rPr>
        <w:t>1 случай, в 2020 и 2021 году заболеваемость не регистрировалась.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период 2014-2023 гг. не зарегистрированы случаи заболеваний вирусными геморрагическими лихорадками, острыми вирусными гепатитами, малярией, клещевым энцефалитом, болезнью Бриля, </w:t>
      </w:r>
      <w:r>
        <w:rPr>
          <w:sz w:val="28"/>
          <w:szCs w:val="28"/>
        </w:rPr>
        <w:t xml:space="preserve">болезнью Лайма </w:t>
      </w:r>
      <w:r>
        <w:rPr>
          <w:rFonts w:eastAsia="Calibri"/>
          <w:sz w:val="28"/>
          <w:szCs w:val="28"/>
        </w:rPr>
        <w:t xml:space="preserve">что свидетельствует о благополучной эпидемиологической ситуации. В течении последних восьми лет не регистрировались случаи носительства </w:t>
      </w:r>
      <w:r>
        <w:rPr>
          <w:sz w:val="28"/>
          <w:szCs w:val="28"/>
        </w:rPr>
        <w:t>НС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 НВС.</w:t>
      </w:r>
    </w:p>
    <w:p w14:paraId="0EFF56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первые за 15 лет в 2024 году зарегистрирован случай гепатита В.</w:t>
      </w:r>
    </w:p>
    <w:p w14:paraId="7497D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организации здравоохранения района после укусов клещей обратилось 24 человека, из них 9 </w:t>
      </w:r>
      <w:r>
        <w:rPr>
          <w:color w:val="202124"/>
          <w:sz w:val="28"/>
          <w:szCs w:val="28"/>
          <w:shd w:val="clear" w:color="auto" w:fill="FFFFFF"/>
        </w:rPr>
        <w:t>–</w:t>
      </w:r>
      <w:r>
        <w:rPr>
          <w:sz w:val="28"/>
          <w:szCs w:val="28"/>
        </w:rPr>
        <w:t xml:space="preserve"> дети до 17 лет (2022 г. </w:t>
      </w:r>
      <w:r>
        <w:rPr>
          <w:color w:val="202124"/>
          <w:sz w:val="28"/>
          <w:szCs w:val="28"/>
          <w:shd w:val="clear" w:color="auto" w:fill="FFFFFF"/>
        </w:rPr>
        <w:t>–</w:t>
      </w:r>
      <w:r>
        <w:rPr>
          <w:sz w:val="28"/>
          <w:szCs w:val="28"/>
        </w:rPr>
        <w:t xml:space="preserve"> 20 и 7 соответственно).  </w:t>
      </w:r>
    </w:p>
    <w:p w14:paraId="441FE0FD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u w:val="single"/>
        </w:rPr>
        <w:t>Заболеваемость населения инфекциями кожи</w:t>
      </w:r>
      <w:r>
        <w:rPr>
          <w:rFonts w:eastAsia="Calibri"/>
          <w:sz w:val="28"/>
          <w:szCs w:val="28"/>
        </w:rPr>
        <w:t xml:space="preserve"> в 2024 году </w:t>
      </w:r>
      <w:r>
        <w:rPr>
          <w:rFonts w:eastAsia="Calibri"/>
          <w:color w:val="000000"/>
          <w:sz w:val="28"/>
          <w:szCs w:val="28"/>
          <w:lang w:eastAsia="en-US"/>
        </w:rPr>
        <w:t>составила</w:t>
      </w:r>
      <w:r>
        <w:rPr>
          <w:rFonts w:eastAsia="Calibri"/>
          <w:sz w:val="28"/>
          <w:szCs w:val="28"/>
        </w:rPr>
        <w:t xml:space="preserve"> 38,1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sz w:val="28"/>
          <w:szCs w:val="28"/>
        </w:rPr>
        <w:t>/</w:t>
      </w:r>
      <w:r>
        <w:rPr>
          <w:iCs/>
          <w:sz w:val="28"/>
          <w:szCs w:val="28"/>
          <w:vertAlign w:val="subscript"/>
        </w:rPr>
        <w:t>0000</w:t>
      </w:r>
      <w:r>
        <w:rPr>
          <w:rFonts w:eastAsia="Calibri"/>
          <w:sz w:val="28"/>
          <w:szCs w:val="28"/>
        </w:rPr>
        <w:t xml:space="preserve">, по сравнению с 2023 годом уменьшилась в 1,2 раза. </w:t>
      </w:r>
      <w:r>
        <w:rPr>
          <w:sz w:val="28"/>
          <w:szCs w:val="28"/>
        </w:rPr>
        <w:t xml:space="preserve"> В структуре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кожных инфекций в 2024 году   преобладает педикулез 85,7% (2015 год – 41,2%)</w:t>
      </w:r>
      <w:r>
        <w:rPr>
          <w:rFonts w:eastAsia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</w:p>
    <w:p w14:paraId="160721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 территории Сенненского района сохраняется неблагополучие по бешенству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среди животных. В 2024 году зарегистрировано 10 случаев бешенства животных, подтверждённого лабораторно. По сравнению с 2022 годом отмечен рост в 5,0 раза.  Из 10 случаев бешенства на долю диких животных приходится 10  (енотовидная собака – 5, лисы - 5).</w:t>
      </w:r>
    </w:p>
    <w:p w14:paraId="2A8EB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обратившихся за антирабической помощью (далее – АРП) в 2024 году снизилось на 20,0% и составило – 24 человека (в 2023 г. – 30 человек).  </w:t>
      </w:r>
    </w:p>
    <w:p w14:paraId="412BB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населения Сенненского района не зарегистрировано в 2024 году заболеваний бешенством, туляремией, бруцеллезом, сибирской язвой, ГЛПС, лептоспирозом, иерсиниозом, псевдотуберкулезом. </w:t>
      </w:r>
    </w:p>
    <w:p w14:paraId="44254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района имеется 5 сибиреязвенных скотомогильников, регулярно осуществляется их мониторинг. Скотомогильники ограждены, имеют предупреждающие таблички. Фактов использования земель в пределах санитарно-защитных зон сибиреязвенных скотомогильников для строительства и иных видов деятельности, связанных с выемкой и перемещением грунта, проведения гидромелиоративных работ, подтопления не зарегистрировано.</w:t>
      </w:r>
    </w:p>
    <w:p w14:paraId="64293B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В целях выполнения задач</w:t>
      </w:r>
      <w:r>
        <w:rPr>
          <w:sz w:val="28"/>
          <w:szCs w:val="28"/>
        </w:rPr>
        <w:t xml:space="preserve"> по обеспечению эпидблагополучия, улучшения степени надежности системы предупреждения возникновения и распространения инфекционных заболеваний на территории Сенненского района целесообразно: проведение целенаправленной работы с заинтересованными организациями, учреждениями, ведомствами по корректировке действующего районного комплексного плана мероприятий по профилактике ОКИ, сальмонеллѐза с ежегодным информированием органов власти о проведенных противоэпидемических и профилактических мероприятиях; проведение своевременного и полного эпидемиологического расследования случаев ОКИ и сальмонеллеза в организованных детских коллективах, на предприятиях пищевой промышленности, общественного питания,  расследование в полном объеме каждого случая заболевания парентеральными вирусными гепатитами и носительства; обучение медицинских работников организаций здравоохранения всех  форм собственности вопросам эпидемиологии и профилактики инфекционных заболеваний с проведением последующего тестирования, в том числе  с отработкой практических навыков; обеспечение устойчивого эпидемиологического благополучия по инфекциям, предупреждаемым средствами специфической профилактики, путем поддержания оптимальных уровней охвата профилактическими прививками населения декретированных групп;  проведение широкой информационно-образовательной работы с населением, в особенности с лицами, отказывающимися от проведения профилактических прививок; обеспечение  контроля за планированием и ходом вакцинации против гриппа лиц из групп риска, работающего населения на предприятиях и организациях независимо от форм собственности; проведение активной информационной работы с населением по вопросам  профилактики заражения и распространения инфекционных заболеваний,  по вопросам  защиты от нападения клещей и профилактики алиментарного пути передачи  клещевого энцефалита, по предупреждению контактов населения (особенно детей) с дикими и безнадзорными домашними животными, разъяснение необходимости раннего обращения за медицинской помощью в случаях контакта с животным, неблагоприятных последствий отказа от иммунизации и прерывания курса прививок.</w:t>
      </w:r>
    </w:p>
    <w:p w14:paraId="1CDE9F7D">
      <w:pPr>
        <w:jc w:val="center"/>
        <w:rPr>
          <w:rFonts w:eastAsia="Calibri"/>
          <w:b/>
          <w:sz w:val="28"/>
          <w:szCs w:val="28"/>
        </w:rPr>
      </w:pPr>
    </w:p>
    <w:p w14:paraId="23993D4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4.2 Эпидемиологический прогноз</w:t>
      </w:r>
    </w:p>
    <w:p w14:paraId="48D08F7B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В рамках проведения эпидемиологического анализа инфекционной заболеваемости на территории Сенненского района в 2024 году с целью оценки развития эпидемиологической ситуации рассчитаны прогнозные показатели заболеваемости на 2025 год.    </w:t>
      </w:r>
      <w:r>
        <w:rPr>
          <w:rFonts w:eastAsia="Calibri"/>
          <w:sz w:val="28"/>
          <w:szCs w:val="28"/>
          <w:highlight w:val="yellow"/>
        </w:rPr>
        <w:t xml:space="preserve"> </w:t>
      </w:r>
    </w:p>
    <w:p w14:paraId="041D2E7D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Прогнозы заболеваемости основными нозологическими формами получены на основании данных ретроспективного анализа заболеваемости, в ходе которого были построены графики многолетней динамики и тенденции заболеваемости, просчитаны теоретические показатели заболеваемости по параболе 1 и 2 порядка, построены графики периодичности заболеваемости. </w:t>
      </w:r>
    </w:p>
    <w:p w14:paraId="6E8D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если не произойдёт существенных изменений в ходе эпидемического процесса, то в 2024 году ожидаются следующие показатели заболеваемости:</w:t>
      </w:r>
    </w:p>
    <w:p w14:paraId="38D83E1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сальмонеллезом – в пределах 4,75 на 100 т.н. (показатель заболеваемости в 202</w:t>
      </w:r>
      <w:r>
        <w:rPr>
          <w:rFonts w:hint="default" w:eastAsia="Calibri"/>
          <w:sz w:val="28"/>
          <w:szCs w:val="28"/>
          <w:lang w:val="ru-RU"/>
        </w:rPr>
        <w:t>4</w:t>
      </w:r>
      <w:r>
        <w:rPr>
          <w:rFonts w:eastAsia="Calibri"/>
          <w:sz w:val="28"/>
          <w:szCs w:val="28"/>
        </w:rPr>
        <w:t xml:space="preserve"> году – 5,2 на 100 т.н., областной – 23,17 на 100 т.н.); имеет место умеренная тенденция к снижению заболеваемости со средним темпом прироста -3,28% за 10 лет наблюдения; </w:t>
      </w:r>
    </w:p>
    <w:p w14:paraId="5AD392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туберкулезом – в пределах 31,9 на 100 т.н. (показатель заболеваемости в 202</w:t>
      </w:r>
      <w:r>
        <w:rPr>
          <w:rFonts w:hint="default" w:eastAsia="Calibri"/>
          <w:sz w:val="28"/>
          <w:szCs w:val="28"/>
          <w:lang w:val="ru-RU"/>
        </w:rPr>
        <w:t>4</w:t>
      </w:r>
      <w:r>
        <w:rPr>
          <w:rFonts w:eastAsia="Calibri"/>
          <w:sz w:val="28"/>
          <w:szCs w:val="28"/>
        </w:rPr>
        <w:t xml:space="preserve"> году – 25,8, на 100 т.н., областной – 15,15 на 100 т.н.); имеет место выраженная тенденция к снижению заболеваемости со средним темпом прироста – 11,9% за 10 лет наблюдения;</w:t>
      </w:r>
    </w:p>
    <w:p w14:paraId="01954EC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ветряной оспой – в пределах 9,78 на 100 т.н. (показатель заболеваемости в 202</w:t>
      </w:r>
      <w:r>
        <w:rPr>
          <w:rFonts w:hint="default" w:eastAsia="Calibri"/>
          <w:sz w:val="28"/>
          <w:szCs w:val="28"/>
          <w:lang w:val="ru-RU"/>
        </w:rPr>
        <w:t>4</w:t>
      </w:r>
      <w:r>
        <w:rPr>
          <w:rFonts w:eastAsia="Calibri"/>
          <w:sz w:val="28"/>
          <w:szCs w:val="28"/>
        </w:rPr>
        <w:t xml:space="preserve"> году –10,3 на 100 т.н., областной -  536,5 на 100 т.н.); имеет место выраженная тенденция к снижению заболеваемости со средним темпом прироста -16,51% за 10 лет наблюдения;</w:t>
      </w:r>
    </w:p>
    <w:p w14:paraId="57FB68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микроспорией – в пределах 16,48 на 100 т.н. (показатель заболеваемости в 202</w:t>
      </w:r>
      <w:r>
        <w:rPr>
          <w:rFonts w:hint="default" w:eastAsia="Calibri"/>
          <w:sz w:val="28"/>
          <w:szCs w:val="28"/>
          <w:lang w:val="ru-RU"/>
        </w:rPr>
        <w:t>4</w:t>
      </w:r>
      <w:r>
        <w:rPr>
          <w:rFonts w:eastAsia="Calibri"/>
          <w:sz w:val="28"/>
          <w:szCs w:val="28"/>
        </w:rPr>
        <w:t xml:space="preserve"> году – 15,5 на 100 т.н., областной -  16,76 на 100 т.н.); имеет место умеренная тенденция к снижению заболеваемости со средним темпом прироста -8,58% за 10 лет наблюдения; </w:t>
      </w:r>
    </w:p>
    <w:p w14:paraId="62DA6DA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энтеробиозом – в пределах 18,48 на 100 т.н. (показатель заболеваемости в 202</w:t>
      </w:r>
      <w:r>
        <w:rPr>
          <w:rFonts w:hint="default" w:eastAsia="Calibri"/>
          <w:sz w:val="28"/>
          <w:szCs w:val="28"/>
          <w:lang w:val="ru-RU"/>
        </w:rPr>
        <w:t>4</w:t>
      </w:r>
      <w:r>
        <w:rPr>
          <w:rFonts w:eastAsia="Calibri"/>
          <w:sz w:val="28"/>
          <w:szCs w:val="28"/>
        </w:rPr>
        <w:t xml:space="preserve"> году –36,1 на 100 т.н., областной 58,29 на 100 т.н.); имеет место выраженная тенденция к снижению заболеваемости со средним темпом прироста -15,90% за 10 лет наблюдения;</w:t>
      </w:r>
    </w:p>
    <w:p w14:paraId="70ADC39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Исходя из вышеуказанного, в 2025 году роста заболеваемости инфекционными заболеваниями не прогнозируется.</w:t>
      </w:r>
    </w:p>
    <w:p w14:paraId="553621FF">
      <w:pPr>
        <w:jc w:val="center"/>
        <w:rPr>
          <w:b/>
          <w:sz w:val="28"/>
          <w:szCs w:val="28"/>
        </w:rPr>
      </w:pPr>
    </w:p>
    <w:p w14:paraId="18C30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 Проблемный анализ направленности профилактических мероприятий по обеспечению санитарно-эпидемиологического благополучия населения Сенненского района</w:t>
      </w:r>
    </w:p>
    <w:p w14:paraId="0C78E38D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Таблица 21</w:t>
      </w:r>
    </w:p>
    <w:tbl>
      <w:tblPr>
        <w:tblStyle w:val="11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945"/>
        <w:gridCol w:w="3827"/>
        <w:gridCol w:w="6662"/>
      </w:tblGrid>
      <w:tr w14:paraId="3FD4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E41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B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Проблемные аспекты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B6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92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</w:tr>
      <w:tr w14:paraId="10D5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78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F27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охвата профилактическими прививками против гриппа в количестве не менее 25%, в том числе не менее 75% контингентов предусмотренных календарем профилактических прививок.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86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Одномоментное проведение вакцинации против инфекции COVID19 и гриппа </w:t>
            </w:r>
          </w:p>
          <w:p w14:paraId="4A7E6F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Сниженная приверженность медицинских работников к проведению профилактической работы, в частности по вакцинации населения 3. Нехватка кадров в амбулаторно-поликлинических организациях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062E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Обеспечить проведение вакцинации населения против гриппа, инфекции COVID-19 преимущественно в сентябре-декабре 2024 г.</w:t>
            </w:r>
          </w:p>
          <w:p w14:paraId="2B5EAC1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2.Внесение изменений в законодательство, предусматривающее меры ответственности за непрохождение вакцинации лицами из числа группы высокого риска неблагоприятных последствий заболевания гриппом</w:t>
            </w:r>
          </w:p>
          <w:p w14:paraId="69FC60C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3. Разъяснительная работа по профилактике гриппа и ОРИ с медицинскими работниками</w:t>
            </w:r>
          </w:p>
          <w:p w14:paraId="121A2A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4. Информационно - разъяснительная работа по профилактике гриппа и ОРИ с населением</w:t>
            </w:r>
          </w:p>
        </w:tc>
      </w:tr>
      <w:tr w14:paraId="7D7E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DC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E4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вакцинации против инфекции COVID-19 подлежащих контингентов 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158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Недоверие населения к имеющимся вакцинам</w:t>
            </w:r>
          </w:p>
          <w:p w14:paraId="464C3F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2. Сниженная приверженность медицинских работников к проведению профилактической работы, в частности по вакцинации населения</w:t>
            </w:r>
          </w:p>
          <w:p w14:paraId="763D27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3. Нехватка кадров в амбулаторно-поликлинических организациях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D4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Наличие вакцины имеющие актуальные штаммы вируса SarsCov-2, циркулирующие в популяции</w:t>
            </w:r>
          </w:p>
          <w:p w14:paraId="2422AC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2. Разъяснительная работа по профилактике гриппа и ОРИ с медицинскими работниками</w:t>
            </w:r>
          </w:p>
          <w:p w14:paraId="61470B0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3.  Информационно-разъяснительная работа по профилактике гриппа и ОРИ</w:t>
            </w:r>
          </w:p>
        </w:tc>
      </w:tr>
      <w:bookmarkEnd w:id="7"/>
    </w:tbl>
    <w:p w14:paraId="75F6844C">
      <w:pPr>
        <w:pStyle w:val="41"/>
        <w:tabs>
          <w:tab w:val="left" w:pos="2835"/>
        </w:tabs>
        <w:spacing w:before="64"/>
        <w:ind w:left="0" w:right="-142"/>
        <w:jc w:val="center"/>
        <w:rPr>
          <w:rFonts w:ascii="Times New Roman" w:hAnsi="Times New Roman"/>
          <w:b/>
          <w:sz w:val="28"/>
          <w:szCs w:val="28"/>
        </w:rPr>
      </w:pPr>
    </w:p>
    <w:p w14:paraId="0D3E4289">
      <w:pPr>
        <w:pStyle w:val="41"/>
        <w:tabs>
          <w:tab w:val="left" w:pos="2835"/>
        </w:tabs>
        <w:spacing w:before="64"/>
        <w:ind w:left="0" w:righ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ФОРМИРОВАНИЕ ЗДОРОВОГО ОБРАЗА ЖИЗНИ НАСЕЛЕНИЯ</w:t>
      </w:r>
    </w:p>
    <w:p w14:paraId="288B3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формированию среди населения Сенненского района здорового образа жизни (далее – ФЗОЖ) осуществлялась в соответствии с основными направлениями деятельности, отраженными в Государственной программе «Здоровье народа и демографическая безопасность» на 2021-2025 годы с максимальным освещением вопросов профилактики основных факторов поведенческих рисков - курения, потребления алкоголя, гиподинамии и нерационального питания.</w:t>
      </w:r>
    </w:p>
    <w:p w14:paraId="00B17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степени распространенности неинфекционной заболеваемости и поведенческих рисков среди населения района  проводились мероприятия в соответствии с  Концепция плана действий по профилактике болезней и ФЗОЖ населения для достижения целей устойчивого развития на период 2022-2024 гг.</w:t>
      </w:r>
    </w:p>
    <w:p w14:paraId="330CE2F8">
      <w:pPr>
        <w:pStyle w:val="41"/>
        <w:tabs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продолжена практика организации и проведения массовых профилактических мероприятий, проведена активная работа по вовлечению населения, а также трудовых коллективов в семейные физкультурно-оздоровительные, спортивные и профилактические мероприятия. Увеличилось количество занимающихся на постоянной основе физической культурой, спортом в спортивных кружках, секциях и оздоровительных группах и составляет 40,2% от общего количества жителей; общеобразовательные и физкультурно-оздоровительные учреждения обеспечены оборудованием и инвентарем в полном объеме; созданы  сборные команды организаций и учреждений с целью участия в  соревнованиях по видам спорта, культивируемым в городе; осуществляется стимулирование ведущих активный и здоровый образ жизни путем награждения грамотами с выплатой денежной премии, размещения на Доске почета и  внесение  в Летопись организации,   размещение фотографии на стендах предприятий и организаций, широкое информирование  через СМИ и социальные сети (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Instagram, </w:t>
      </w:r>
      <w:r>
        <w:rPr>
          <w:rFonts w:ascii="Times New Roman" w:hAnsi="Times New Roman" w:cs="Times New Roman"/>
          <w:sz w:val="28"/>
          <w:szCs w:val="28"/>
        </w:rPr>
        <w:t>«ВКонтакте» и др.).</w:t>
      </w:r>
    </w:p>
    <w:p w14:paraId="106C1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физкультурно-оздоровительной, спортивно-массовой и туристической работы с населением в районе используются 69 спортивных сооружений, в том числе физкультурно-спортивный комплекс, лыжероллерная трасса, лыжная база, 3 пункта проката зимнего инвентаря, 38 спортивных площадок, два футбольных поля с искусственным газоном, площадка для бадминтона, площадка «Воркаут», 5 тренажерных залов, 14 спортивных залов, зал греко-римской борьбы, веревочный городок и др.</w:t>
      </w:r>
    </w:p>
    <w:p w14:paraId="1D1EA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функционирует учебно-спортивное учреждение «Сенненская специализированная детско-юношеская школа олимпийского резерва».</w:t>
      </w:r>
    </w:p>
    <w:p w14:paraId="3C6CE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Обеспечивается контроль за соблюдением требований законодательства Республики Беларусь по борьбе с табакокурением - мониторингом по вопросу соблюдения запретов на курение охвачено 84 объекта. </w:t>
      </w:r>
    </w:p>
    <w:p w14:paraId="3A0FF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результативных и экономичных способов решения конкретных проблем по ФЗОЖ в районе является реализация республиканских профилактических проектов. </w:t>
      </w:r>
    </w:p>
    <w:p w14:paraId="11EA53BE">
      <w:pPr>
        <w:ind w:firstLine="709"/>
        <w:jc w:val="both"/>
        <w:rPr>
          <w:sz w:val="28"/>
          <w:szCs w:val="28"/>
          <w:highlight w:val="yellow"/>
        </w:rPr>
      </w:pPr>
    </w:p>
    <w:p w14:paraId="659B571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 Анализ хода реализации профилактических проектов в Сенненском районе</w:t>
      </w:r>
    </w:p>
    <w:p w14:paraId="136920F8">
      <w:pPr>
        <w:pStyle w:val="4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профилактический проект «Здоровые города и посёлки» (далее – Проект) реализуется в 3 населенных пунктах Сенненского района: «Сенно – здоровый город» (Решение Сенненского районного исполнительного комитета от 20.12.2016 №1125), «Богушевск-здоровый посёлок» (с 2022 года), «Мошканы – здоровый агрогородок» (с 2024 г.)   Разработана Дорожная карта по внедрению и реализации Проекта на период до 2030 года с вовлечением в реализацию всех агрогородков района  (14).  </w:t>
      </w:r>
    </w:p>
    <w:p w14:paraId="43227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 проекта    значительно улучшена инфраструктура г.Сенно, г.п.Богушевск и аг.Мошканы, обеспечено  активное  участие населения  во всех городских мероприятиях (акциях, праздниках здоровья, спартакиадах, ярмарках, дне города  и др.), проведено внедрение новых интерактивных форм работы - всесезонный  «Марафон здоровья», физкультурно-оздоровительное мероприятие «Весна здоровья»,    ежегодная акции «Вместо дыма сигарет выбирай велосипед!»,  посвященной Всемирному дню отказа от  табака и др. </w:t>
      </w:r>
    </w:p>
    <w:p w14:paraId="1C40E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популяризации здорового питания ГУ «Сенненский РЦГЭ» совместно с предприятиями общественного питания организовано проведение акции «Линия здоровья» с дегустацией блюд, разработано и внедрено меню постных блюд, меню для людей, ведущих здоровы образ жизни, проведены мастер-классы по приготовлению таких блюд.  Хлебозаводом Сенненского филиала Витебского облпо   выпускается «Хлеб пшенично-подовой с отрубями», Днепровский солодовый», «Праснак Оршанский», хлеб «Здоровье».    Колбасным цехом   Сенненского филиала Витебского облпо налажен выпуск нового продукта - варено-копченой мясной продукции с уменьшенным содержанием соли, в вакуумной упаковке и в газовой среде (7 наименований).</w:t>
      </w:r>
      <w:r>
        <w:rPr>
          <w:bCs/>
          <w:sz w:val="28"/>
          <w:szCs w:val="28"/>
        </w:rPr>
        <w:t xml:space="preserve">  </w:t>
      </w:r>
    </w:p>
    <w:p w14:paraId="00E45B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ТЦСОН   функционирует клуб «Надежда» и «Золотой возраст», организованы реабилитационно-трудовые мастерские, сезонные формы работы – дом зимовки, приемная семья, патронатная семья.    </w:t>
      </w:r>
    </w:p>
    <w:p w14:paraId="413A3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реализуется   профилактический проект «</w:t>
      </w:r>
      <w:r>
        <w:rPr>
          <w:bCs/>
          <w:iCs/>
          <w:sz w:val="28"/>
          <w:szCs w:val="28"/>
        </w:rPr>
        <w:t xml:space="preserve">Школа – территория здоровья», </w:t>
      </w:r>
      <w:r>
        <w:rPr>
          <w:sz w:val="28"/>
          <w:szCs w:val="28"/>
        </w:rPr>
        <w:t xml:space="preserve">в его реализации   задействованы все учреждения образования. 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В рамках проекта    обновлена ученическая мебель, проведен ремонт на пищеблоке и в классах;  организовано социальное партнерство школы и семьи в процессе формирования готовности к самостоятельному выбору в пользу здорового образа жизни, налажено сотрудничество с районным отделом внутренних дел и КДН     по профилактике правонарушений и преступлений несовершеннолетних,  сотрудничество с  РОВД  по  обучению школьников правилам дорожного движения,  по предупреждению детского дорожно-транспортного травматизма через организацию внеурочных мероприятий с участием инспекторов.</w:t>
      </w:r>
    </w:p>
    <w:p w14:paraId="7162FEAD">
      <w:pPr>
        <w:tabs>
          <w:tab w:val="left" w:pos="198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период летних каникул реализован проект «Домино здоровья» с информационно-образовательной и игровой прогаммами.  </w:t>
      </w:r>
    </w:p>
    <w:p w14:paraId="7DD12A6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Дополнен тематическими уголками мини-центр </w:t>
      </w:r>
      <w:r>
        <w:rPr>
          <w:sz w:val="28"/>
          <w:szCs w:val="28"/>
        </w:rPr>
        <w:t xml:space="preserve"> безопасности жизнедеятельности</w:t>
      </w:r>
      <w:r>
        <w:rPr>
          <w:bCs/>
          <w:iCs/>
          <w:sz w:val="28"/>
          <w:szCs w:val="28"/>
        </w:rPr>
        <w:t xml:space="preserve"> на базе ГУО «Средняя школа №2 г. Сенно им. А.К.Касинцева, </w:t>
      </w:r>
      <w:r>
        <w:rPr>
          <w:sz w:val="28"/>
          <w:szCs w:val="28"/>
          <w:shd w:val="clear" w:color="auto" w:fill="FFFFFF"/>
        </w:rPr>
        <w:t>состоящий из площадок: «Правила поведения при ЧС», «Вызов экстренных служб», «Правила безопасного поведения в быту», «Пользование первичными средствами пожаротушения», «Эвакуация из задымленного помещения», «Оказание первой помощи», « Здоровый образ жизни», «Опасные места для детских игр» и др.  Деятельность центра ориентирована на обучение подрастающего поколения основам безопасности жизнедеятельности с использованием инновационных технологий и современного оборудования путем виртуального погружения в среду, имитирующую чрезвычайные ситуации, что позволяет отработать действия не только теоретически, но и практически</w:t>
      </w:r>
      <w:r>
        <w:rPr>
          <w:bCs/>
          <w:iCs/>
          <w:sz w:val="28"/>
          <w:szCs w:val="28"/>
        </w:rPr>
        <w:t>. Согласно утвержденным графикам, все учреждения образования в 2023 году посетили данный мини-центр.</w:t>
      </w:r>
    </w:p>
    <w:p w14:paraId="5C55BA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настоящее время продолжается   реализация локального проекта по профилактике табакокурения на базе </w:t>
      </w:r>
      <w:r>
        <w:rPr>
          <w:sz w:val="28"/>
          <w:szCs w:val="28"/>
        </w:rPr>
        <w:t xml:space="preserve">ГСПУ «Сенненский детский дом».  </w:t>
      </w:r>
    </w:p>
    <w:p w14:paraId="5FD7A9BA">
      <w:pPr>
        <w:tabs>
          <w:tab w:val="left" w:pos="1980"/>
        </w:tabs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</w:rPr>
        <w:t xml:space="preserve"> Активно реализуется проект «Папа, мама, я – футбольная семья» </w:t>
      </w:r>
      <w:r>
        <w:rPr>
          <w:bCs/>
          <w:sz w:val="28"/>
          <w:szCs w:val="28"/>
        </w:rPr>
        <w:t xml:space="preserve">с ежегодным проведением семейного спортивного фестиваля и </w:t>
      </w:r>
      <w:r>
        <w:rPr>
          <w:bCs/>
          <w:sz w:val="28"/>
          <w:szCs w:val="28"/>
          <w:shd w:val="clear" w:color="auto" w:fill="FFFFFF"/>
        </w:rPr>
        <w:t>районного турнира по мини-футболу среди детей и подростков по месту жительства "Футбол для дружбы».</w:t>
      </w:r>
    </w:p>
    <w:p w14:paraId="397D6F01">
      <w:pPr>
        <w:tabs>
          <w:tab w:val="left" w:pos="1980"/>
        </w:tabs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Реализована мини-инициатива для людей пожилого возраста «Прогулка с врачом» (парк 40-летия Победы г. Сенно), создана группа занятий йогой для пожилых «Ягодки» и др.</w:t>
      </w:r>
    </w:p>
    <w:p w14:paraId="6F973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Проектов и местных инициатив в рамках Проектов к изменению поведения в сторону повышения физической активности   привлечено 8540 человек.   </w:t>
      </w:r>
    </w:p>
    <w:p w14:paraId="17CEE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субъектов, использующих различные формы стимулирования работников, приверженных ЗОЖ, составляет 87%.</w:t>
      </w:r>
    </w:p>
    <w:p w14:paraId="76B8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и развитие Проектов и местных инициатив в рамках Проекта свидетельствует о наличии в районе системы межведомственного взаимодействия и налаженного диалога между властью, бизнесом и городским сообществом, а также готовности к сотрудничеству. Вся практическая деятельность в рамках Проекта: программы, акции и мероприятия по повышению информированности населения о сохранении здоровья, профилактике заболеваний, по пропаганде здорового образа жизни, по созданию условий для занятий физкультурой и спортом, по улучшению экологии и благоустройству  приносят пользу жителям города,  ведут к положительному социальному  эффекту и приближают к достижению  Цели № 3 в области целей устойчивого развития «Обеспечение здорового образа жизни и  содействие благополучию для всех в любом возрасте». </w:t>
      </w:r>
    </w:p>
    <w:p w14:paraId="0CCDF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планируется продолжить реализацию мини-инициативы «Сохрани себя для жизни» во время летних каникул в учреждениях образования района с проведением селфи-конкурса «Мое здоровое лето»; реализовать мини-инициативу для людей пожилого возраста «Прогулка с врачом» (в г.п.Богушевск и аг.Мошканы); продолжить реализацию  </w:t>
      </w:r>
      <w:r>
        <w:rPr>
          <w:sz w:val="28"/>
          <w:szCs w:val="28"/>
          <w:shd w:val="clear" w:color="auto" w:fill="FFFFFF"/>
        </w:rPr>
        <w:t xml:space="preserve">локального проекта по профилактике табакокурения на базе </w:t>
      </w:r>
      <w:r>
        <w:rPr>
          <w:sz w:val="28"/>
          <w:szCs w:val="28"/>
        </w:rPr>
        <w:t>ГСПУ «Сенненский детский дом»; дальнейшее проведение  на системной основе единых дней здоровья и иных мероприятий профилактической направленности  на базе мини-центра безопасности жизнедеятельности  (в уголке здорового образа жизни).</w:t>
      </w:r>
    </w:p>
    <w:p w14:paraId="54FC5F1D">
      <w:pPr>
        <w:ind w:firstLine="709"/>
        <w:jc w:val="both"/>
        <w:rPr>
          <w:sz w:val="30"/>
          <w:szCs w:val="30"/>
        </w:rPr>
      </w:pPr>
    </w:p>
    <w:p w14:paraId="70D9AD34">
      <w:pPr>
        <w:ind w:firstLine="709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5.2. Анализ и сравнительные оценки степени распространенности поведенческих рисков среди населения</w:t>
      </w:r>
    </w:p>
    <w:p w14:paraId="69D6A3A4"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Вся практическая деятельность организаций, ведомств по формированию здорового образа жизни - программы, акции, проекты,  мероприятия по повышению информированности населения о сохранении здоровья, профилактике заболеваний, по пропаганде здорового образа жизни, по созданию условий для занятий физкультурой и спортом, по улучшению экологии и благоустройству направлены на достижение Цели № 3 в области целей устойчивого развития «Обеспечение здорового образа жизни и содействие благополучию для всех в любом возрасте».</w:t>
      </w:r>
    </w:p>
    <w:p w14:paraId="6A50BF3D"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Основные поведенческие риски среди населения района: употребление табака, низкая физическая активность, злоупотребление алкоголем (по результатам проведенного анкетирования). </w:t>
      </w:r>
    </w:p>
    <w:p w14:paraId="36C5803F">
      <w:pPr>
        <w:ind w:firstLine="709"/>
        <w:jc w:val="both"/>
        <w:rPr>
          <w:sz w:val="28"/>
          <w:szCs w:val="28"/>
          <w:highlight w:val="none"/>
        </w:rPr>
      </w:pPr>
    </w:p>
    <w:p w14:paraId="51D5B8BE">
      <w:pPr>
        <w:shd w:val="clear" w:color="auto" w:fill="FFFFFF"/>
        <w:jc w:val="both"/>
        <w:outlineLvl w:val="0"/>
        <w:rPr>
          <w:b/>
          <w:bCs/>
          <w:i/>
          <w:iCs/>
          <w:spacing w:val="1"/>
          <w:sz w:val="28"/>
          <w:szCs w:val="28"/>
          <w:highlight w:val="none"/>
        </w:rPr>
      </w:pPr>
      <w:r>
        <w:rPr>
          <w:i/>
          <w:iCs/>
          <w:spacing w:val="1"/>
          <w:sz w:val="28"/>
          <w:szCs w:val="28"/>
          <w:highlight w:val="none"/>
        </w:rPr>
        <w:t>Таблица 22</w:t>
      </w:r>
    </w:p>
    <w:tbl>
      <w:tblPr>
        <w:tblStyle w:val="11"/>
        <w:tblW w:w="13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2"/>
        <w:gridCol w:w="3035"/>
        <w:gridCol w:w="4553"/>
      </w:tblGrid>
      <w:tr w14:paraId="61E5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F1D3249">
            <w:pPr>
              <w:pStyle w:val="26"/>
              <w:spacing w:line="276" w:lineRule="auto"/>
              <w:rPr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C527">
            <w:pPr>
              <w:spacing w:line="276" w:lineRule="auto"/>
              <w:jc w:val="center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  <w:t>2023</w:t>
            </w:r>
          </w:p>
        </w:tc>
        <w:tc>
          <w:tcPr>
            <w:tcW w:w="4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5092">
            <w:pPr>
              <w:spacing w:line="276" w:lineRule="auto"/>
              <w:jc w:val="center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  <w:t>2024</w:t>
            </w:r>
          </w:p>
        </w:tc>
      </w:tr>
      <w:tr w14:paraId="0598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14:paraId="45B681A7">
            <w:pPr>
              <w:spacing w:line="276" w:lineRule="auto"/>
              <w:jc w:val="center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  <w:t>Распространенность потребления табака среди лиц в возрасте от 16 лет</w:t>
            </w:r>
          </w:p>
        </w:tc>
      </w:tr>
      <w:tr w14:paraId="710E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7171E">
            <w:pPr>
              <w:pStyle w:val="26"/>
              <w:spacing w:line="276" w:lineRule="auto"/>
              <w:rPr>
                <w:sz w:val="24"/>
                <w:szCs w:val="24"/>
                <w:highlight w:val="none"/>
                <w:lang w:eastAsia="en-US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Фактическое значение, %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C3EB">
            <w:pPr>
              <w:spacing w:line="276" w:lineRule="auto"/>
              <w:jc w:val="center"/>
              <w:rPr>
                <w:highlight w:val="none"/>
                <w:lang w:eastAsia="en-US"/>
              </w:rPr>
            </w:pPr>
            <w:r>
              <w:rPr>
                <w:bCs/>
                <w:highlight w:val="none"/>
                <w:lang w:eastAsia="en-US"/>
              </w:rPr>
              <w:t xml:space="preserve">26,5 </w:t>
            </w:r>
          </w:p>
        </w:tc>
        <w:tc>
          <w:tcPr>
            <w:tcW w:w="4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0F66">
            <w:pPr>
              <w:spacing w:line="276" w:lineRule="auto"/>
              <w:jc w:val="center"/>
              <w:rPr>
                <w:bCs/>
                <w:highlight w:val="none"/>
                <w:lang w:eastAsia="en-US"/>
              </w:rPr>
            </w:pPr>
            <w:r>
              <w:rPr>
                <w:bCs/>
                <w:highlight w:val="none"/>
                <w:lang w:eastAsia="en-US"/>
              </w:rPr>
              <w:t>25,8</w:t>
            </w:r>
          </w:p>
        </w:tc>
      </w:tr>
      <w:tr w14:paraId="035D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2D1D4">
            <w:pPr>
              <w:pStyle w:val="26"/>
              <w:spacing w:line="276" w:lineRule="auto"/>
              <w:rPr>
                <w:sz w:val="24"/>
                <w:szCs w:val="24"/>
                <w:highlight w:val="none"/>
                <w:lang w:eastAsia="en-US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Целевой показатель, %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A2A2">
            <w:pPr>
              <w:spacing w:line="276" w:lineRule="auto"/>
              <w:jc w:val="center"/>
              <w:rPr>
                <w:bCs/>
                <w:highlight w:val="none"/>
                <w:lang w:eastAsia="en-US"/>
              </w:rPr>
            </w:pPr>
            <w:bookmarkStart w:id="8" w:name="_Hlk101339191"/>
            <w:r>
              <w:rPr>
                <w:bCs/>
                <w:highlight w:val="none"/>
                <w:lang w:eastAsia="en-US"/>
              </w:rPr>
              <w:t>28,5*</w:t>
            </w:r>
            <w:bookmarkEnd w:id="8"/>
          </w:p>
        </w:tc>
        <w:tc>
          <w:tcPr>
            <w:tcW w:w="4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3FAEA">
            <w:pPr>
              <w:spacing w:line="276" w:lineRule="auto"/>
              <w:jc w:val="center"/>
              <w:rPr>
                <w:bCs/>
                <w:highlight w:val="none"/>
                <w:lang w:eastAsia="en-US"/>
              </w:rPr>
            </w:pPr>
            <w:r>
              <w:rPr>
                <w:bCs/>
                <w:highlight w:val="none"/>
                <w:lang w:eastAsia="en-US"/>
              </w:rPr>
              <w:t>28,2</w:t>
            </w:r>
          </w:p>
        </w:tc>
      </w:tr>
    </w:tbl>
    <w:p w14:paraId="400B4C85">
      <w:pPr>
        <w:ind w:firstLine="709"/>
        <w:jc w:val="both"/>
        <w:rPr>
          <w:sz w:val="28"/>
          <w:szCs w:val="28"/>
          <w:highlight w:val="yellow"/>
        </w:rPr>
      </w:pPr>
    </w:p>
    <w:p w14:paraId="0C8359A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Одним из направлений профилактической работы в 2024 году  явились мероприятия по снижению влияния табакокурения и употребления алкоголя, как  основных факторов риска неинфекционных заболеваний населения; пропаганда здорового питания и вовлечение населения в массовые физкультурно-оздоровительные, спортивные и профилактические мероприятия. По вопросам профилактики табакокурения и алкоголизации информационно-образовательная работа проводится совместно с заинтересованными ведомствами и общественными организациями. </w:t>
      </w:r>
      <w:bookmarkStart w:id="9" w:name="_Hlk127440790"/>
      <w:r>
        <w:rPr>
          <w:sz w:val="28"/>
          <w:szCs w:val="28"/>
        </w:rPr>
        <w:t xml:space="preserve"> </w:t>
      </w:r>
    </w:p>
    <w:p w14:paraId="2613B65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Направления активизации деятельности по ФЗОЖ, профилактике факторов риска НИЗ в 2025 году:</w:t>
      </w:r>
    </w:p>
    <w:p w14:paraId="17060D6E">
      <w:pPr>
        <w:pStyle w:val="4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республиканских, областных и локальных профилактических проектов с учетом дифференцированного подхода, целевой аудитории и сложившейся ситуации (демографической, экологической, социальной), в том числе с молодежью и в трудовых коллективах;</w:t>
      </w:r>
    </w:p>
    <w:p w14:paraId="5BAB3FF0">
      <w:pPr>
        <w:pStyle w:val="4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реализация государственного профилактического проекта «Здоровые города и поселки» (в 2025 году – реализация проекта «Яново – здоровый агрогородок») с адаптацией мероприятий с программами достижений ЦУР, привлечение населения к планированию и реализации мероприятий проекта; </w:t>
      </w:r>
    </w:p>
    <w:p w14:paraId="13D07723">
      <w:pPr>
        <w:pStyle w:val="4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оценки эффективности проводимых мероприятий путем проведения социологических исследований,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 предварительных опросов участников </w:t>
      </w:r>
      <w:r>
        <w:rPr>
          <w:rFonts w:ascii="Times New Roman" w:hAnsi="Times New Roman" w:cs="Times New Roman"/>
          <w:sz w:val="28"/>
          <w:szCs w:val="28"/>
        </w:rPr>
        <w:t>профилактических проектов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о проблемах, существующих в молодежной среде, вопросах по сохранению и укреплению здоровья, с целью повышения эффективности реализации профилактических проектов среди детей и молодежи;</w:t>
      </w:r>
    </w:p>
    <w:bookmarkEnd w:id="9"/>
    <w:p w14:paraId="5BDA5965">
      <w:pPr>
        <w:pStyle w:val="4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местных инициатив по профилактике заболеваний и формированию здорового образа жизни;</w:t>
      </w:r>
    </w:p>
    <w:p w14:paraId="62A45054">
      <w:pPr>
        <w:pStyle w:val="4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на всех этапах первичной медицинской помощи целенаправленной работа с группами риска по отношению к поведенческим факторам риска неинфекционных и инфекционных заболеваний;</w:t>
      </w:r>
    </w:p>
    <w:p w14:paraId="3F773A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регулярное анонсирование проводимых мероприятий, расширение выпуска тематических рубрик в   районной газете «Голос Сенненщины», информирование через СМИ и социальные сети (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Instagram, </w:t>
      </w:r>
      <w:r>
        <w:rPr>
          <w:sz w:val="28"/>
          <w:szCs w:val="28"/>
        </w:rPr>
        <w:t>«ВКонтакте» и др.)   вопросов профилактики факторов риска НИЗ и инфекционных заболеваний;</w:t>
      </w:r>
    </w:p>
    <w:p w14:paraId="5C12E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размещение наружной социальной рекламы для позиционирования Проекта во всех населенных пунктах, участвующих в его реализации.</w:t>
      </w:r>
    </w:p>
    <w:p w14:paraId="20C5BE73">
      <w:pPr>
        <w:ind w:firstLine="709"/>
        <w:jc w:val="both"/>
        <w:rPr>
          <w:sz w:val="28"/>
          <w:szCs w:val="28"/>
        </w:rPr>
      </w:pPr>
    </w:p>
    <w:p w14:paraId="5CD5A9AA">
      <w:pPr>
        <w:ind w:firstLine="709"/>
        <w:jc w:val="center"/>
        <w:rPr>
          <w:b/>
          <w:sz w:val="28"/>
          <w:szCs w:val="28"/>
        </w:rPr>
      </w:pPr>
      <w:bookmarkStart w:id="10" w:name="_Hlk177139093"/>
      <w:r>
        <w:rPr>
          <w:b/>
          <w:sz w:val="28"/>
          <w:szCs w:val="28"/>
        </w:rPr>
        <w:t>VI. ОСНОВНЫЕ НАПРАВЛЕНИЯ ДЕЯТЕЛЬНОСТИ ПО УКРЕПЛЕНИЮ ЗДОРОВЬЯ НАСЕЛЕНИЯ</w:t>
      </w:r>
    </w:p>
    <w:p w14:paraId="0BDACA0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ДОСТИЖЕНИЯ ПОКАЗАТЕЛЕЙ ЦЕЛЕЙ УСТОЙЧИВОГО РАЗВИТИЯ</w:t>
      </w:r>
    </w:p>
    <w:p w14:paraId="6386591E">
      <w:pPr>
        <w:ind w:firstLine="709"/>
        <w:jc w:val="center"/>
        <w:rPr>
          <w:b/>
          <w:sz w:val="28"/>
          <w:szCs w:val="28"/>
        </w:rPr>
      </w:pPr>
    </w:p>
    <w:p w14:paraId="4CCC627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 Заключение о состоянии популяционного здоровья и среды обитания населения в Сенненском районе в 2024 году</w:t>
      </w:r>
    </w:p>
    <w:p w14:paraId="57EA9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в Сенненском районе планомерно продолжалась и совершенствовалась работа всех отраслей и ведомств по созданию здоровьесберегающей среды жизнедеятельности, укреплению здоровья, профилактике болезней и снижению распространенности поведенческих рисков среди проживающего населения.</w:t>
      </w:r>
    </w:p>
    <w:p w14:paraId="5CF4AB1E">
      <w:pPr>
        <w:pStyle w:val="3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Население Сенненского района в 2024 году составило 18622 человека, из них: городского 9393 человек (50,4%), сельского 9229 человек (49,6%)</w:t>
      </w:r>
      <w:r>
        <w:rPr>
          <w:sz w:val="28"/>
          <w:szCs w:val="28"/>
          <w:shd w:val="clear" w:color="auto" w:fill="FFFFFF"/>
        </w:rPr>
        <w:t xml:space="preserve"> человек.  </w:t>
      </w:r>
    </w:p>
    <w:p w14:paraId="31558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обеспечено стабильно высокое качество продуктов питания по параметрам гигиенической безопасности, отмечается положительная динамика улучшения санитарно-гигиенического состояния предприятий пищевой промышленности, общественного питания и продовольственной торговли. Субъектами хозяйствования Сенненского района, производится значительный ассортимент продуктов функционального, профилактического и специализированного питания. Акцент рецептур сдвигается в пользу компонентов, обладающих наибольшей полезностью, обеспечивающих сбалансированность по жирам, белкам, углеводам и стимулирующих защитные функции организма. Продукты массового производства выпускаются с максимально возможным количеством натуральных компонентов и минимальным добавок. </w:t>
      </w:r>
    </w:p>
    <w:p w14:paraId="38522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населения Сенненского района питьевой водой: централизованным хозяйственно-питьевым водоснабжением в 2024 году обеспечено 85,1% населения района, (2023 год 84,6%). </w:t>
      </w:r>
    </w:p>
    <w:p w14:paraId="43D475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 Сенно и все населённые пункты Сенненского района включены в схемы обращения с коммунальными отходами.</w:t>
      </w:r>
    </w:p>
    <w:p w14:paraId="489FA4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гигиенического обеспечения учебно-воспитательного процесса в дошкольных и школьных учреждениях улучшены в части температурного режима и освещенности. На протяжении последних трёх лет рабочие места учащихся соответствуют гигиеническим нормативам по показателям электромагнитных излучений в кабинетах учебно-вычислительной техники. Большое внимание уделяется питанию учащихся учреждений общего среднего образования, горячим питанием охвачено 96% учащихся.</w:t>
      </w:r>
    </w:p>
    <w:p w14:paraId="2F74A1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новому 2024/2025 учебному году по территориальным «Программам (планам) укрепления материально-технической базы учреждений образования на 2021-2025 годы» и предписаниям санитарно-эпидемиологической службы выполнен значительный объём работ, что позволило повысить их эпидемиологическую надёжность. </w:t>
      </w:r>
    </w:p>
    <w:p w14:paraId="28685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работающих во вредных условиях труда на промышленных и сельскохозяйственных организациях (предприятиях) остаётся стабильным и составляет 10,3% от общего количества работающих. В результате выполнения мероприятий, направленных на улучшение условий труда работающих, инициированных учреждениями госсаннадзора, на объектах промышленности и сельского хозяйства приведено в соответствие с требованиями гигиенических нормативов 34 рабочих места.</w:t>
      </w:r>
    </w:p>
    <w:p w14:paraId="451B1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обязательный периодический медицинский осмотр прошли 98,8% (2023-95,5%) работающих занятых во вредных и (или) опасных условиях труда от числа подлежащих. По результатам медосмотра установлено: выявлено с общими заболеваниями, препятствующими продолжению работы 0,3% работающих (в 2023 году – 1,0% работающих), снижение к уровню предыдущего года составил 0,7%.</w:t>
      </w:r>
    </w:p>
    <w:p w14:paraId="3C4C75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2024 году на территории района не зарегистрировано случаев хронического профессионального заболевания.</w:t>
      </w:r>
    </w:p>
    <w:p w14:paraId="5C575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первичной инвалидности населения трудоспособного возраста в 2024 году составил 63,3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 xml:space="preserve">000, </w:t>
      </w:r>
      <w:r>
        <w:rPr>
          <w:sz w:val="28"/>
          <w:szCs w:val="28"/>
        </w:rPr>
        <w:t xml:space="preserve">что на 5,8% выше уровня предыдущего года. </w:t>
      </w:r>
    </w:p>
    <w:p w14:paraId="1D930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первичная заболеваемость всего населения района, 18 лет и старше, детского населения 0-17 лет не превышает среднеобластные показатели.</w:t>
      </w:r>
    </w:p>
    <w:p w14:paraId="2D71A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ЦУР 3.3.1 «Число новых заражений ВИЧ на 1000 неинфицированных в разбивке по полу и возрасту» в районе достигнут и составил 0,05‰ (по области - 0,095‰), (целевое значение на 2025 год – 0,25‰). За период наблюдения с 1987 года на 01.01.2025 года в районе зарегистрировано 34 случая ВИЧ-инфекции, показатель распространенности составил 182,5</w:t>
      </w:r>
      <w:r>
        <w:rPr>
          <w:iCs/>
          <w:sz w:val="28"/>
          <w:szCs w:val="28"/>
          <w:vertAlign w:val="superscript"/>
        </w:rPr>
        <w:t>0</w:t>
      </w:r>
      <w:r>
        <w:rPr>
          <w:iCs/>
          <w:sz w:val="28"/>
          <w:szCs w:val="28"/>
        </w:rPr>
        <w:t>/</w:t>
      </w:r>
      <w:r>
        <w:rPr>
          <w:iCs/>
          <w:sz w:val="28"/>
          <w:szCs w:val="28"/>
          <w:vertAlign w:val="subscript"/>
        </w:rPr>
        <w:t>0000</w:t>
      </w:r>
      <w:r>
        <w:rPr>
          <w:sz w:val="28"/>
          <w:szCs w:val="28"/>
        </w:rPr>
        <w:t xml:space="preserve">.  </w:t>
      </w:r>
    </w:p>
    <w:p w14:paraId="7C4C9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социально-гигиенической ситуации по состоянию на 2023 год свидетельствует о наличии на территории Сенненского района </w:t>
      </w:r>
      <w:r>
        <w:rPr>
          <w:b/>
          <w:bCs/>
          <w:sz w:val="28"/>
          <w:szCs w:val="28"/>
        </w:rPr>
        <w:t>рисков для формирования здоровья населения</w:t>
      </w:r>
      <w:r>
        <w:rPr>
          <w:sz w:val="28"/>
          <w:szCs w:val="28"/>
        </w:rPr>
        <w:t>:</w:t>
      </w:r>
    </w:p>
    <w:p w14:paraId="20A0B46D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 районе имеет место регрессивный тип возрастной структуры с высоким уровнем демографической старости. Удельный вес лиц в возрасте старше 65 лет составил 26,1%, что превышает международный показатель (7%) в 3,7 раза. </w:t>
      </w:r>
    </w:p>
    <w:p w14:paraId="50367FF4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Особенно выражены негативные демографические явления в городской местности, где населения старше трудоспособного возраста (6400 человек) значительно преобладает над численностью детей и подростков (2651 человек). </w:t>
      </w:r>
    </w:p>
    <w:p w14:paraId="55D7A2FC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Удельный вес трудоспособного возраста 51,7% (область – 57,6%), 34,2% - старше трудоспособного возраста (область – 26,8%). Всё вышеуказанное непосредственно влияет на показатель общей смертности и естественной убыли населения района.</w:t>
      </w:r>
    </w:p>
    <w:p w14:paraId="4C9474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профилактических осмотров удельный вес детей 0-14 лет и подростков, относящихся к 4-й группе здоровья, увеличился по сравнению с 2023 годом в 1,4 раза.</w:t>
      </w:r>
    </w:p>
    <w:p w14:paraId="763C2811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районе 24,8% населения используют воду из 365 общественных колодцев. Удельный вес проб воды, не соответствующих гигиеническим нормативам по санитарно-химическим показателям, составляет 1,03</w:t>
      </w:r>
      <w:r>
        <w:rPr>
          <w:sz w:val="28"/>
          <w:szCs w:val="28"/>
        </w:rPr>
        <w:t>%.</w:t>
      </w:r>
    </w:p>
    <w:p w14:paraId="7CDA01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Сенненском районе число абортов снизилось (2024 год – 6; 2023 год </w:t>
      </w:r>
      <w:r>
        <w:rPr>
          <w:color w:val="000000"/>
          <w:spacing w:val="1"/>
          <w:sz w:val="28"/>
          <w:szCs w:val="28"/>
        </w:rPr>
        <w:t>–</w:t>
      </w:r>
      <w:r>
        <w:rPr>
          <w:sz w:val="28"/>
          <w:szCs w:val="28"/>
        </w:rPr>
        <w:t xml:space="preserve"> 8; 2022 год </w:t>
      </w:r>
      <w:r>
        <w:rPr>
          <w:color w:val="000000"/>
          <w:spacing w:val="1"/>
          <w:sz w:val="28"/>
          <w:szCs w:val="28"/>
        </w:rPr>
        <w:t>–</w:t>
      </w:r>
      <w:r>
        <w:rPr>
          <w:sz w:val="28"/>
          <w:szCs w:val="28"/>
        </w:rPr>
        <w:t xml:space="preserve"> 18), однако проблемный вопрос –  аборты по медицинским показаниям составляют лишь 16,6% от общего числа. </w:t>
      </w:r>
    </w:p>
    <w:p w14:paraId="526CC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заболеваемости с ВУТ в 2024 году в целом по району составил 1413 дней на 100 работающих (область – 1198,5 дней), рост к уровню предыдущего года на + 53,6 дня или 3,9%.</w:t>
      </w:r>
    </w:p>
    <w:p w14:paraId="311225F9">
      <w:pPr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Показатель первичной заболеваемости всего населения в 2024 году в целом по району составил 424,4‰ (Витебская область – 799,8‰), прирост к уровню предыдущего года по району +0,6% (Витебской области </w:t>
      </w:r>
      <w:r>
        <w:rPr>
          <w:color w:val="000000"/>
          <w:spacing w:val="1"/>
          <w:sz w:val="28"/>
          <w:szCs w:val="28"/>
        </w:rPr>
        <w:t>–</w:t>
      </w:r>
      <w:r>
        <w:rPr>
          <w:sz w:val="28"/>
          <w:szCs w:val="28"/>
        </w:rPr>
        <w:t xml:space="preserve"> 0,6%) за счёт роста инфекционной заболеваемости.  </w:t>
      </w:r>
      <w:r>
        <w:rPr>
          <w:color w:val="000000"/>
          <w:spacing w:val="1"/>
          <w:sz w:val="28"/>
          <w:szCs w:val="28"/>
        </w:rPr>
        <w:t xml:space="preserve">Темпы среднегодового прироста по классам заболеваний за период 2015 - 2024 годы </w:t>
      </w:r>
      <w:r>
        <w:rPr>
          <w:bCs/>
          <w:color w:val="000000"/>
          <w:sz w:val="28"/>
          <w:szCs w:val="28"/>
        </w:rPr>
        <w:t xml:space="preserve">выше областного показателя </w:t>
      </w:r>
      <w:r>
        <w:rPr>
          <w:bCs/>
          <w:color w:val="000000"/>
          <w:sz w:val="28"/>
          <w:szCs w:val="28"/>
          <w:lang w:val="be-BY"/>
        </w:rPr>
        <w:t>по 6 классам заболеваний</w:t>
      </w:r>
      <w:r>
        <w:rPr>
          <w:bCs/>
          <w:color w:val="000000"/>
          <w:sz w:val="28"/>
          <w:szCs w:val="28"/>
        </w:rPr>
        <w:t>: инфекционные болезни</w:t>
      </w:r>
      <w:r>
        <w:rPr>
          <w:sz w:val="28"/>
          <w:szCs w:val="28"/>
        </w:rPr>
        <w:t xml:space="preserve"> +11,3%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+9,8</w:t>
      </w:r>
      <w:r>
        <w:rPr>
          <w:sz w:val="28"/>
          <w:szCs w:val="28"/>
        </w:rPr>
        <w:t>%);</w:t>
      </w:r>
      <w:r>
        <w:rPr>
          <w:color w:val="000000"/>
          <w:spacing w:val="1"/>
          <w:sz w:val="28"/>
          <w:szCs w:val="28"/>
        </w:rPr>
        <w:t xml:space="preserve"> болезни эндокринной системы +4,8% (</w:t>
      </w:r>
      <w:r>
        <w:rPr>
          <w:color w:val="000000"/>
          <w:spacing w:val="-5"/>
          <w:sz w:val="28"/>
          <w:szCs w:val="28"/>
        </w:rPr>
        <w:t>обл. +4,6</w:t>
      </w:r>
      <w:r>
        <w:rPr>
          <w:sz w:val="28"/>
          <w:szCs w:val="28"/>
        </w:rPr>
        <w:t xml:space="preserve">%), </w:t>
      </w:r>
      <w:r>
        <w:rPr>
          <w:color w:val="000000"/>
          <w:spacing w:val="-5"/>
          <w:sz w:val="28"/>
          <w:szCs w:val="28"/>
        </w:rPr>
        <w:t xml:space="preserve">психическим расстройствам и расстройствам поведения +3,1% (обл. -1,4%); болезни глаз </w:t>
      </w:r>
      <w:r>
        <w:rPr>
          <w:sz w:val="28"/>
          <w:szCs w:val="28"/>
        </w:rPr>
        <w:t xml:space="preserve">+3,6%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– 0,0</w:t>
      </w:r>
      <w:r>
        <w:rPr>
          <w:sz w:val="28"/>
          <w:szCs w:val="28"/>
        </w:rPr>
        <w:t xml:space="preserve">%); </w:t>
      </w:r>
      <w:r>
        <w:rPr>
          <w:color w:val="000000"/>
          <w:spacing w:val="-5"/>
          <w:sz w:val="28"/>
          <w:szCs w:val="28"/>
        </w:rPr>
        <w:t xml:space="preserve">врождённые аномалии </w:t>
      </w:r>
      <w:r>
        <w:rPr>
          <w:sz w:val="28"/>
          <w:szCs w:val="28"/>
        </w:rPr>
        <w:t xml:space="preserve">+12,0%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+0,8</w:t>
      </w:r>
      <w:r>
        <w:rPr>
          <w:sz w:val="28"/>
          <w:szCs w:val="28"/>
        </w:rPr>
        <w:t xml:space="preserve">%), болезни нервной системы +06,%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-3,0</w:t>
      </w:r>
      <w:r>
        <w:rPr>
          <w:sz w:val="28"/>
          <w:szCs w:val="28"/>
        </w:rPr>
        <w:t>%).</w:t>
      </w:r>
    </w:p>
    <w:p w14:paraId="20477F5A">
      <w:pPr>
        <w:ind w:firstLine="709"/>
        <w:jc w:val="both"/>
        <w:rPr>
          <w:color w:val="000000"/>
          <w:spacing w:val="1"/>
          <w:sz w:val="28"/>
          <w:szCs w:val="28"/>
          <w:lang w:val="be-BY"/>
        </w:rPr>
      </w:pPr>
      <w:r>
        <w:rPr>
          <w:color w:val="000000"/>
          <w:spacing w:val="1"/>
          <w:sz w:val="28"/>
          <w:szCs w:val="28"/>
        </w:rPr>
        <w:t xml:space="preserve">В структуре заболеваемости </w:t>
      </w:r>
      <w:r>
        <w:rPr>
          <w:sz w:val="28"/>
          <w:szCs w:val="28"/>
        </w:rPr>
        <w:t>всего населения</w:t>
      </w:r>
      <w:r>
        <w:rPr>
          <w:color w:val="000000"/>
          <w:spacing w:val="1"/>
          <w:sz w:val="28"/>
          <w:szCs w:val="28"/>
        </w:rPr>
        <w:t xml:space="preserve"> лидируют болезни органов дыхания – </w:t>
      </w:r>
      <w:r>
        <w:rPr>
          <w:color w:val="000000"/>
          <w:spacing w:val="1"/>
          <w:sz w:val="28"/>
          <w:szCs w:val="28"/>
          <w:lang w:val="be-BY"/>
        </w:rPr>
        <w:t>64,8</w:t>
      </w:r>
      <w:r>
        <w:rPr>
          <w:color w:val="000000"/>
          <w:spacing w:val="1"/>
          <w:sz w:val="28"/>
          <w:szCs w:val="28"/>
        </w:rPr>
        <w:t xml:space="preserve">%; на втором месте травмы и отравления – 9,9%; третье место болезни системы кровообращения – </w:t>
      </w:r>
      <w:r>
        <w:rPr>
          <w:color w:val="000000"/>
          <w:spacing w:val="1"/>
          <w:sz w:val="28"/>
          <w:szCs w:val="28"/>
          <w:lang w:val="be-BY"/>
        </w:rPr>
        <w:t>5,1</w:t>
      </w:r>
      <w:r>
        <w:rPr>
          <w:color w:val="000000"/>
          <w:spacing w:val="1"/>
          <w:sz w:val="28"/>
          <w:szCs w:val="28"/>
        </w:rPr>
        <w:t xml:space="preserve">%, далее по нисходящей инфекционные и паразитарные болезни – </w:t>
      </w:r>
      <w:r>
        <w:rPr>
          <w:color w:val="000000"/>
          <w:spacing w:val="1"/>
          <w:sz w:val="28"/>
          <w:szCs w:val="28"/>
          <w:lang w:val="be-BY"/>
        </w:rPr>
        <w:t>3,7</w:t>
      </w:r>
      <w:r>
        <w:rPr>
          <w:color w:val="000000"/>
          <w:spacing w:val="1"/>
          <w:sz w:val="28"/>
          <w:szCs w:val="28"/>
        </w:rPr>
        <w:t xml:space="preserve">%, болезни эндокринной системы – </w:t>
      </w:r>
      <w:r>
        <w:rPr>
          <w:color w:val="000000"/>
          <w:spacing w:val="1"/>
          <w:sz w:val="28"/>
          <w:szCs w:val="28"/>
          <w:lang w:val="be-BY"/>
        </w:rPr>
        <w:t>2,6</w:t>
      </w:r>
      <w:r>
        <w:rPr>
          <w:color w:val="000000"/>
          <w:spacing w:val="1"/>
          <w:sz w:val="28"/>
          <w:szCs w:val="28"/>
        </w:rPr>
        <w:t xml:space="preserve">%, </w:t>
      </w:r>
      <w:r>
        <w:rPr>
          <w:color w:val="000000"/>
          <w:spacing w:val="-5"/>
          <w:sz w:val="28"/>
          <w:szCs w:val="28"/>
        </w:rPr>
        <w:t xml:space="preserve">психические расстройства и расстройствам поведения </w:t>
      </w:r>
      <w:r>
        <w:rPr>
          <w:color w:val="000000"/>
          <w:spacing w:val="1"/>
          <w:sz w:val="28"/>
          <w:szCs w:val="28"/>
        </w:rPr>
        <w:t xml:space="preserve">– </w:t>
      </w:r>
      <w:r>
        <w:rPr>
          <w:color w:val="000000"/>
          <w:spacing w:val="1"/>
          <w:sz w:val="28"/>
          <w:szCs w:val="28"/>
          <w:lang w:val="be-BY"/>
        </w:rPr>
        <w:t>2,6</w:t>
      </w:r>
      <w:r>
        <w:rPr>
          <w:color w:val="000000"/>
          <w:spacing w:val="1"/>
          <w:sz w:val="28"/>
          <w:szCs w:val="28"/>
        </w:rPr>
        <w:t>%</w:t>
      </w:r>
      <w:r>
        <w:rPr>
          <w:color w:val="000000"/>
          <w:spacing w:val="1"/>
          <w:sz w:val="28"/>
          <w:szCs w:val="28"/>
          <w:lang w:val="be-BY"/>
        </w:rPr>
        <w:t>.</w:t>
      </w:r>
    </w:p>
    <w:p w14:paraId="71ED5484">
      <w:pPr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Показатель первичной заболеваемости населения 18 лет и старше в 2024 году в целом по району составил 365,5‰ (Витебская область 611,1‰), прирост к уровню предыдущего года по району +0,4% (Витебской области 0%). </w:t>
      </w:r>
      <w:r>
        <w:rPr>
          <w:color w:val="000000"/>
          <w:spacing w:val="1"/>
          <w:sz w:val="28"/>
          <w:szCs w:val="28"/>
        </w:rPr>
        <w:t xml:space="preserve">  Темпы среднегодового прироста по классам заболеваний за период 2015-2024 годы </w:t>
      </w:r>
      <w:r>
        <w:rPr>
          <w:bCs/>
          <w:color w:val="000000"/>
          <w:sz w:val="28"/>
          <w:szCs w:val="28"/>
        </w:rPr>
        <w:t xml:space="preserve">выше областного показателя </w:t>
      </w:r>
      <w:r>
        <w:rPr>
          <w:bCs/>
          <w:color w:val="000000"/>
          <w:sz w:val="28"/>
          <w:szCs w:val="28"/>
          <w:lang w:val="be-BY"/>
        </w:rPr>
        <w:t>по 6 классам заболеваний</w:t>
      </w:r>
      <w:r>
        <w:rPr>
          <w:color w:val="000000"/>
          <w:spacing w:val="1"/>
          <w:sz w:val="28"/>
          <w:szCs w:val="28"/>
        </w:rPr>
        <w:t xml:space="preserve"> - врождённые аномалии </w:t>
      </w:r>
      <w:r>
        <w:rPr>
          <w:sz w:val="28"/>
          <w:szCs w:val="28"/>
        </w:rPr>
        <w:t xml:space="preserve">+12,0%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+0,8</w:t>
      </w:r>
      <w:r>
        <w:rPr>
          <w:sz w:val="28"/>
          <w:szCs w:val="28"/>
        </w:rPr>
        <w:t>%)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болезни нервной системы </w:t>
      </w:r>
      <w:r>
        <w:rPr>
          <w:sz w:val="28"/>
          <w:szCs w:val="28"/>
        </w:rPr>
        <w:t xml:space="preserve">+0,6%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+3,0</w:t>
      </w:r>
      <w:r>
        <w:rPr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болезни глаз </w:t>
      </w:r>
      <w:r>
        <w:rPr>
          <w:sz w:val="28"/>
          <w:szCs w:val="28"/>
        </w:rPr>
        <w:t xml:space="preserve">+3,6%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- 0</w:t>
      </w:r>
      <w:r>
        <w:rPr>
          <w:sz w:val="28"/>
          <w:szCs w:val="28"/>
        </w:rPr>
        <w:t>%)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 xml:space="preserve">психическим расстройствам и расстройствам поведения +3,1% (обл. - 1,4%), болезни эндокринной системы </w:t>
      </w:r>
      <w:r>
        <w:rPr>
          <w:sz w:val="28"/>
          <w:szCs w:val="28"/>
        </w:rPr>
        <w:t xml:space="preserve">+4,8%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+4,6</w:t>
      </w:r>
      <w:r>
        <w:rPr>
          <w:sz w:val="28"/>
          <w:szCs w:val="28"/>
        </w:rPr>
        <w:t>%)</w:t>
      </w:r>
      <w:r>
        <w:rPr>
          <w:color w:val="000000"/>
          <w:spacing w:val="1"/>
          <w:sz w:val="28"/>
          <w:szCs w:val="28"/>
        </w:rPr>
        <w:t xml:space="preserve">, инфекционные и паразитарные болезни +11,3 </w:t>
      </w:r>
      <w:r>
        <w:rPr>
          <w:color w:val="000000"/>
          <w:spacing w:val="-5"/>
          <w:sz w:val="28"/>
          <w:szCs w:val="28"/>
        </w:rPr>
        <w:t>(обл. +9,8%).</w:t>
      </w:r>
    </w:p>
    <w:p w14:paraId="38D04E54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Показатель первичной заболеваемости детского населения в 2024 году в целом по району составил 721,0‰ (Витебская область </w:t>
      </w:r>
      <w:r>
        <w:rPr>
          <w:color w:val="000000"/>
          <w:spacing w:val="1"/>
          <w:sz w:val="28"/>
          <w:szCs w:val="28"/>
        </w:rPr>
        <w:t>–</w:t>
      </w:r>
      <w:r>
        <w:rPr>
          <w:sz w:val="28"/>
          <w:szCs w:val="28"/>
        </w:rPr>
        <w:t xml:space="preserve"> 1627,0‰), прирост к уровню предыдущего года по району +5,5% (Витебской области -2,2%).  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Темпы среднегодового прироста по классам заболеваний за период 2015-2024 годы </w:t>
      </w:r>
      <w:r>
        <w:rPr>
          <w:bCs/>
          <w:color w:val="000000"/>
          <w:sz w:val="28"/>
          <w:szCs w:val="28"/>
        </w:rPr>
        <w:t>выше областного показателя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be-BY"/>
        </w:rPr>
        <w:t>по 7 классам заболеваний</w:t>
      </w:r>
      <w:r>
        <w:rPr>
          <w:bCs/>
          <w:color w:val="000000"/>
          <w:sz w:val="28"/>
          <w:szCs w:val="28"/>
        </w:rPr>
        <w:t>: новообразования +15,9% (</w:t>
      </w:r>
      <w:r>
        <w:rPr>
          <w:color w:val="000000"/>
          <w:spacing w:val="-5"/>
          <w:sz w:val="28"/>
          <w:szCs w:val="28"/>
        </w:rPr>
        <w:t>обл. -0,4</w:t>
      </w:r>
      <w:r>
        <w:rPr>
          <w:sz w:val="28"/>
          <w:szCs w:val="28"/>
        </w:rPr>
        <w:t>%),</w:t>
      </w:r>
      <w:r>
        <w:rPr>
          <w:color w:val="000000"/>
          <w:spacing w:val="1"/>
          <w:sz w:val="28"/>
          <w:szCs w:val="28"/>
        </w:rPr>
        <w:t xml:space="preserve"> инфекционные болезни +7,5% (</w:t>
      </w:r>
      <w:r>
        <w:rPr>
          <w:color w:val="000000"/>
          <w:spacing w:val="-5"/>
          <w:sz w:val="28"/>
          <w:szCs w:val="28"/>
        </w:rPr>
        <w:t>обл. +2,1</w:t>
      </w:r>
      <w:r>
        <w:rPr>
          <w:sz w:val="28"/>
          <w:szCs w:val="28"/>
        </w:rPr>
        <w:t xml:space="preserve">%), болезни системы кровообращения +27,9%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-4,8</w:t>
      </w:r>
      <w:r>
        <w:rPr>
          <w:sz w:val="28"/>
          <w:szCs w:val="28"/>
        </w:rPr>
        <w:t>%)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болезни костно-мышечной системы и соединительной ткани болезни +0,6%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– 1,6</w:t>
      </w:r>
      <w:r>
        <w:rPr>
          <w:sz w:val="28"/>
          <w:szCs w:val="28"/>
        </w:rPr>
        <w:t xml:space="preserve">%), мочеполовой системы +7,8%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– 6,6</w:t>
      </w:r>
      <w:r>
        <w:rPr>
          <w:sz w:val="28"/>
          <w:szCs w:val="28"/>
        </w:rPr>
        <w:t xml:space="preserve">%),  </w:t>
      </w:r>
      <w:r>
        <w:rPr>
          <w:color w:val="000000"/>
          <w:spacing w:val="1"/>
          <w:sz w:val="28"/>
          <w:szCs w:val="28"/>
        </w:rPr>
        <w:t xml:space="preserve">врождённые аномалии </w:t>
      </w:r>
      <w:r>
        <w:rPr>
          <w:sz w:val="28"/>
          <w:szCs w:val="28"/>
        </w:rPr>
        <w:t xml:space="preserve">+14,6%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+0,6</w:t>
      </w:r>
      <w:r>
        <w:rPr>
          <w:sz w:val="28"/>
          <w:szCs w:val="28"/>
        </w:rPr>
        <w:t xml:space="preserve">%), </w:t>
      </w:r>
      <w:r>
        <w:rPr>
          <w:color w:val="000000"/>
          <w:spacing w:val="1"/>
          <w:sz w:val="28"/>
          <w:szCs w:val="28"/>
        </w:rPr>
        <w:t xml:space="preserve">травмы и другие внешние причины </w:t>
      </w:r>
      <w:r>
        <w:rPr>
          <w:sz w:val="28"/>
          <w:szCs w:val="28"/>
        </w:rPr>
        <w:t xml:space="preserve">+16,5% </w:t>
      </w:r>
      <w:r>
        <w:rPr>
          <w:bCs/>
          <w:color w:val="000000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обл. – 1,7</w:t>
      </w:r>
      <w:r>
        <w:rPr>
          <w:sz w:val="28"/>
          <w:szCs w:val="28"/>
        </w:rPr>
        <w:t>%)</w:t>
      </w:r>
      <w:r>
        <w:rPr>
          <w:color w:val="000000"/>
          <w:spacing w:val="1"/>
          <w:sz w:val="28"/>
          <w:szCs w:val="28"/>
        </w:rPr>
        <w:t xml:space="preserve">. </w:t>
      </w:r>
    </w:p>
    <w:p w14:paraId="2A59C87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Тяжесть первичной инвалидности трудоспособного населения в 2022 году составила 40,0%.  </w:t>
      </w:r>
    </w:p>
    <w:p w14:paraId="516BDF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Потребление алкоголя на душу населения в возрасте от 15 лет в литрах чистого алкоголя составляет 10,6. Динамика по потреблению алкоголя за период 2020-2024 годы характеризуется умеренной тенденцией к снижению.  </w:t>
      </w:r>
    </w:p>
    <w:p w14:paraId="325B0E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уровень первичной заболеваемости взрослого населения в 3 зонах медицинского обслуживания превышает уровень районной заболеваемости (365,5 </w:t>
      </w:r>
      <w:r>
        <w:rPr>
          <w:iCs/>
          <w:sz w:val="28"/>
          <w:szCs w:val="28"/>
          <w:vertAlign w:val="superscript"/>
        </w:rPr>
        <w:t>0</w:t>
      </w:r>
      <w:r>
        <w:rPr>
          <w:iCs/>
          <w:sz w:val="28"/>
          <w:szCs w:val="28"/>
        </w:rPr>
        <w:t>/</w:t>
      </w:r>
      <w:r>
        <w:rPr>
          <w:iCs/>
          <w:sz w:val="28"/>
          <w:szCs w:val="28"/>
          <w:vertAlign w:val="subscript"/>
        </w:rPr>
        <w:t>00</w:t>
      </w:r>
      <w:r>
        <w:rPr>
          <w:sz w:val="28"/>
          <w:szCs w:val="28"/>
        </w:rPr>
        <w:t>) - на территории обслуживания Сенненской ЦРП, где данный показатель составляет 487,2</w:t>
      </w:r>
      <w:r>
        <w:rPr>
          <w:iCs/>
          <w:sz w:val="28"/>
          <w:szCs w:val="28"/>
          <w:vertAlign w:val="superscript"/>
        </w:rPr>
        <w:t>0</w:t>
      </w:r>
      <w:r>
        <w:rPr>
          <w:iCs/>
          <w:sz w:val="28"/>
          <w:szCs w:val="28"/>
        </w:rPr>
        <w:t>/</w:t>
      </w:r>
      <w:r>
        <w:rPr>
          <w:iCs/>
          <w:sz w:val="28"/>
          <w:szCs w:val="28"/>
          <w:vertAlign w:val="subscript"/>
        </w:rPr>
        <w:t xml:space="preserve">00 </w:t>
      </w:r>
      <w:r>
        <w:rPr>
          <w:sz w:val="28"/>
          <w:szCs w:val="28"/>
        </w:rPr>
        <w:t>и превышает районный на (33,3%), Мошканской БСУ – 414,9</w:t>
      </w:r>
      <w:r>
        <w:rPr>
          <w:iCs/>
          <w:sz w:val="28"/>
          <w:szCs w:val="28"/>
          <w:vertAlign w:val="superscript"/>
        </w:rPr>
        <w:t>0</w:t>
      </w:r>
      <w:r>
        <w:rPr>
          <w:iCs/>
          <w:sz w:val="28"/>
          <w:szCs w:val="28"/>
        </w:rPr>
        <w:t>/</w:t>
      </w:r>
      <w:r>
        <w:rPr>
          <w:iCs/>
          <w:sz w:val="28"/>
          <w:szCs w:val="28"/>
          <w:vertAlign w:val="subscript"/>
        </w:rPr>
        <w:t xml:space="preserve">00  </w:t>
      </w:r>
      <w:r>
        <w:rPr>
          <w:sz w:val="28"/>
          <w:szCs w:val="28"/>
        </w:rPr>
        <w:t>превышает на (13,5%), Ходцевская ВА-383,4</w:t>
      </w:r>
      <w:r>
        <w:rPr>
          <w:iCs/>
          <w:sz w:val="28"/>
          <w:szCs w:val="28"/>
          <w:vertAlign w:val="superscript"/>
        </w:rPr>
        <w:t>0</w:t>
      </w:r>
      <w:r>
        <w:rPr>
          <w:iCs/>
          <w:sz w:val="28"/>
          <w:szCs w:val="28"/>
        </w:rPr>
        <w:t>/</w:t>
      </w:r>
      <w:r>
        <w:rPr>
          <w:iCs/>
          <w:sz w:val="28"/>
          <w:szCs w:val="28"/>
          <w:vertAlign w:val="subscript"/>
        </w:rPr>
        <w:t xml:space="preserve">00  </w:t>
      </w:r>
      <w:r>
        <w:rPr>
          <w:sz w:val="28"/>
          <w:szCs w:val="28"/>
        </w:rPr>
        <w:t xml:space="preserve">превышает на (4,9%). </w:t>
      </w:r>
    </w:p>
    <w:p w14:paraId="6A3EF9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Превышение районного показателя первичной заболеваемости взрослого населения </w:t>
      </w:r>
      <w:r>
        <w:rPr>
          <w:bCs/>
          <w:sz w:val="28"/>
          <w:szCs w:val="28"/>
        </w:rPr>
        <w:t>болезнями системы кровообращения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(25,0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</w:t>
      </w:r>
      <w:r>
        <w:rPr>
          <w:sz w:val="28"/>
          <w:szCs w:val="28"/>
        </w:rPr>
        <w:t>) отмечается на территории обслуживания районной поликлиники (34,9%).</w:t>
      </w:r>
    </w:p>
    <w:p w14:paraId="0CE56A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показатель первичной заболеваемости взрослого населения злокачественными новообразованиями    превышает районный показатель (6,7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</w:t>
      </w:r>
      <w:r>
        <w:rPr>
          <w:sz w:val="28"/>
          <w:szCs w:val="28"/>
        </w:rPr>
        <w:t>), в зоне обслуживания Мошканской БСУ (12,2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</w:t>
      </w:r>
      <w:r>
        <w:rPr>
          <w:sz w:val="28"/>
          <w:szCs w:val="28"/>
        </w:rPr>
        <w:t>) в 1,8 раза.</w:t>
      </w:r>
      <w:r>
        <w:rPr>
          <w:color w:val="000000"/>
          <w:spacing w:val="1"/>
          <w:sz w:val="28"/>
          <w:szCs w:val="28"/>
        </w:rPr>
        <w:t xml:space="preserve"> Прирост показателя по сравнению с 2023 годом </w:t>
      </w:r>
      <w:r>
        <w:rPr>
          <w:sz w:val="28"/>
          <w:szCs w:val="28"/>
        </w:rPr>
        <w:t>отмечается в зоне обслуживания районной поликлиники на 18,5%, Мошканской БСУ в 3,2 раза, Белицкой ВА на 27,9%.</w:t>
      </w:r>
    </w:p>
    <w:p w14:paraId="582CB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Превышение районного показателя первичной заболеваемости взрослого населения болезнями органов дыхания (ХРЗ) (1,6‰) зарегистрировано на территории Ходцевской ВА - 4,4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</w:t>
      </w:r>
      <w:r>
        <w:rPr>
          <w:sz w:val="28"/>
          <w:szCs w:val="28"/>
        </w:rPr>
        <w:t>.</w:t>
      </w:r>
    </w:p>
    <w:p w14:paraId="474D5B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Эпидемиологическая ситуация в районе оценивается как стабильная и управляемая по всем нозологическим формам. Из 73 контролируемых нозологических форм инфекционных заболеваний зарегистрировано 12, не зарегистрировано   за период 2015-2024 годы  61 (паратиф, брюшной тиф, иерсиниоз, вялый паралич, геморрагические лихорадки, гепатиты С, болезнь Бриля, малярия, столбняк, дифтерия, менингококковая инфекция, корь, краснуха, эпидпаратит, трихоцефалёз, трихинеллёз, трихофития др.), снижение в 2024 году по сравнению с 2022 годом по 4 (другие сальмонеллёзы инфекции, ОКИ неустановленной этиологии, болезнь Лайма, педикулёз, микроспория, болезнь Лайма). </w:t>
      </w:r>
    </w:p>
    <w:p w14:paraId="7DBA71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отмечается рост общей инфекционной заболеваемости на (+2,4%) и составил 30692,2‰. </w:t>
      </w:r>
    </w:p>
    <w:p w14:paraId="74A96DFE">
      <w:pPr>
        <w:tabs>
          <w:tab w:val="left" w:pos="6225"/>
        </w:tabs>
        <w:ind w:firstLine="709"/>
        <w:jc w:val="both"/>
        <w:rPr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В структуре общей инфекционной заболеваемости без гриппа и ОРИ в 2024 году преобладают паразитарные болезни – удельный вес составляет 26,3%; второе место – воздушно-капельные – 21,0%; третье место по удельному весу занимают венерические болезни и инфекции кожи – 18,4% </w:t>
      </w:r>
    </w:p>
    <w:p w14:paraId="22ED947F">
      <w:pPr>
        <w:tabs>
          <w:tab w:val="left" w:pos="622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2024 году на территории </w:t>
      </w:r>
      <w:r>
        <w:rPr>
          <w:color w:val="000000"/>
          <w:sz w:val="28"/>
          <w:szCs w:val="28"/>
        </w:rPr>
        <w:t>Сенненского района</w:t>
      </w:r>
      <w:r>
        <w:rPr>
          <w:rFonts w:eastAsia="Calibri"/>
          <w:color w:val="000000"/>
          <w:sz w:val="28"/>
          <w:szCs w:val="28"/>
        </w:rPr>
        <w:t xml:space="preserve"> не достигнут показатель ЦУР 3.3.2 «Заболеваемость туберкулезом на 100000 человек», </w:t>
      </w:r>
      <w:r>
        <w:rPr>
          <w:rFonts w:eastAsia="Calibri"/>
          <w:sz w:val="28"/>
          <w:szCs w:val="28"/>
        </w:rPr>
        <w:t>показатель заболеваемости туберкулезом всего населения в Сенненском районе 27,2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rFonts w:eastAsia="Calibri"/>
          <w:sz w:val="28"/>
          <w:szCs w:val="28"/>
        </w:rPr>
        <w:t>, что выше областного показателя (14,4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rFonts w:eastAsia="Calibri"/>
          <w:sz w:val="28"/>
          <w:szCs w:val="28"/>
        </w:rPr>
        <w:t xml:space="preserve">) в 1,3 раза. </w:t>
      </w:r>
      <w:r>
        <w:rPr>
          <w:rFonts w:eastAsia="Calibri"/>
          <w:color w:val="000000"/>
          <w:sz w:val="28"/>
          <w:szCs w:val="28"/>
        </w:rPr>
        <w:t xml:space="preserve">Многолетняя динамика за период 2015-2024 годы характеризуется </w:t>
      </w:r>
      <w:r>
        <w:rPr>
          <w:bCs/>
          <w:iCs/>
          <w:sz w:val="28"/>
          <w:szCs w:val="28"/>
        </w:rPr>
        <w:t xml:space="preserve">не устойчивой динамикой с отрицательным </w:t>
      </w:r>
      <w:r>
        <w:rPr>
          <w:color w:val="000000"/>
          <w:spacing w:val="1"/>
          <w:sz w:val="28"/>
          <w:szCs w:val="28"/>
        </w:rPr>
        <w:t>темпом среднегодового прироста (-6,6%)</w:t>
      </w:r>
      <w:r>
        <w:rPr>
          <w:rFonts w:eastAsia="Calibri"/>
          <w:sz w:val="28"/>
          <w:szCs w:val="28"/>
        </w:rPr>
        <w:t xml:space="preserve">. </w:t>
      </w:r>
    </w:p>
    <w:p w14:paraId="0F66A348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8"/>
          <w:szCs w:val="28"/>
        </w:rPr>
        <w:t>Приоритетом профилактической работы учреждений здравоохранения и госсаннадзора Сенненского района является снижение влияния основных факторов риска неинфекционных заболеваний на здоровье населения.</w:t>
      </w:r>
    </w:p>
    <w:p w14:paraId="3E8838E8">
      <w:pPr>
        <w:ind w:firstLine="709"/>
        <w:rPr>
          <w:b/>
          <w:sz w:val="28"/>
          <w:szCs w:val="28"/>
        </w:rPr>
      </w:pPr>
    </w:p>
    <w:p w14:paraId="2FFE12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6.2. Проблемно-целевой анализ   достижения показателей и индикаторов ЦУР по вопросам здоровья населения</w:t>
      </w:r>
    </w:p>
    <w:p w14:paraId="41177277">
      <w:pPr>
        <w:ind w:firstLine="709"/>
        <w:rPr>
          <w:sz w:val="28"/>
          <w:szCs w:val="28"/>
        </w:rPr>
      </w:pPr>
    </w:p>
    <w:p w14:paraId="3B8F1626">
      <w:pPr>
        <w:ind w:firstLine="709"/>
        <w:rPr>
          <w:rFonts w:eastAsia="Calibri"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Показатель 3.3.1</w:t>
      </w:r>
      <w:r>
        <w:rPr>
          <w:b/>
          <w:bCs/>
          <w:sz w:val="28"/>
          <w:szCs w:val="28"/>
          <w:u w:val="single"/>
        </w:rPr>
        <w:t>- Число новых заражений ВИЧ на 1000 неинфицированных в разбивке по полу и возрасту</w:t>
      </w:r>
      <w:r>
        <w:rPr>
          <w:rFonts w:eastAsia="Calibri"/>
          <w:i/>
          <w:sz w:val="28"/>
          <w:szCs w:val="28"/>
        </w:rPr>
        <w:t xml:space="preserve"> </w:t>
      </w:r>
    </w:p>
    <w:p w14:paraId="7B517E40">
      <w:pPr>
        <w:ind w:firstLine="709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(целевое значение показателя ЦУР 2020 – 0,25; 2025 – 0,20; 2030 – 0,15)</w:t>
      </w:r>
    </w:p>
    <w:p w14:paraId="00656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2024 года составил по району 0,05, что ниже целевого значения, установленного на 2020 год (0,25). На данном этапе отмечается положительная динамика.    </w:t>
      </w:r>
    </w:p>
    <w:p w14:paraId="4CC491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выявлено 1 случай ВИЧ-инфекции у работающей женщины на территории Мошканской БСУ, заражение произошло половым путем.</w:t>
      </w:r>
    </w:p>
    <w:p w14:paraId="2C02F4B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Многолетняя динамика заболеваемости ВИЧ-инфекцией за период 2015-2024 годы по Сенненскому району прослеживается </w:t>
      </w:r>
      <w:r>
        <w:rPr>
          <w:rFonts w:eastAsia="Calibri"/>
          <w:color w:val="000000"/>
          <w:sz w:val="28"/>
          <w:szCs w:val="28"/>
        </w:rPr>
        <w:t xml:space="preserve">многолетняя динамика за период 2015-2024 годы </w:t>
      </w:r>
      <w:r>
        <w:rPr>
          <w:bCs/>
          <w:iCs/>
          <w:sz w:val="28"/>
          <w:szCs w:val="28"/>
        </w:rPr>
        <w:t xml:space="preserve">не устойчивой динамикой с отрицательным </w:t>
      </w:r>
      <w:r>
        <w:rPr>
          <w:color w:val="000000"/>
          <w:spacing w:val="1"/>
          <w:sz w:val="28"/>
          <w:szCs w:val="28"/>
        </w:rPr>
        <w:t>темпом среднегодового прироста (-3,6%)</w:t>
      </w:r>
    </w:p>
    <w:p w14:paraId="08741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факторы, которые представляют риски здоровью населения: низкая приверженность пациентов к лечению и диспансерному наблюдению в сочетании с недостаточным уровнем охвата ВИЧ-инфицированных пациентов антиретровирусной терапией; рост случаев ВИЧ-инфекции среди лиц, преимущественно имеющих социально неблагополучные факторы риска (наркотическая и алкогольная зависимость, рискованное сексуальное поведение); низкий уровень охвата ключевых групп населения   профилактическими мероприятиями. </w:t>
      </w:r>
    </w:p>
    <w:p w14:paraId="681C5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уровне территориальных органов управления и самоуправления в части организации самообследования населения целесообразно отслеживать наличие возможностей для самотестирования при помощи экспресс-тестов, особенно по слюне. </w:t>
      </w:r>
    </w:p>
    <w:p w14:paraId="23178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Вывод: показатель достигнут, межведомственное взаимодействие налажено.</w:t>
      </w:r>
    </w:p>
    <w:p w14:paraId="5954635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Основные направления деятельности по достижению устойчивости территории по показателю 3.3.3:</w:t>
      </w:r>
    </w:p>
    <w:p w14:paraId="15752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подпрограммы </w:t>
      </w:r>
      <w:r>
        <w:rPr>
          <w:caps/>
          <w:sz w:val="28"/>
          <w:szCs w:val="28"/>
        </w:rPr>
        <w:t>«</w:t>
      </w:r>
      <w:r>
        <w:rPr>
          <w:sz w:val="28"/>
          <w:szCs w:val="28"/>
        </w:rPr>
        <w:t xml:space="preserve">Профилактика ВИЧ-инфекции» Государственной программы </w:t>
      </w:r>
      <w:r>
        <w:rPr>
          <w:caps/>
          <w:sz w:val="28"/>
          <w:szCs w:val="28"/>
        </w:rPr>
        <w:t>«</w:t>
      </w:r>
      <w:r>
        <w:rPr>
          <w:sz w:val="28"/>
          <w:szCs w:val="28"/>
        </w:rPr>
        <w:t>Здоровье народа и демографическая безопасность» на 2021-2025 годы;</w:t>
      </w:r>
    </w:p>
    <w:p w14:paraId="49CFA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приверженности к диспансерному наблюдению и антиретровирусной терапии ВИЧ-позитивных пациентов, особенно из ключевых групп населения, а также расширению самотестирования посредством использования экспресс-тестов;</w:t>
      </w:r>
    </w:p>
    <w:p w14:paraId="3D81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межведомственного взаимодействия по вопросам установления места нахождения лиц, подлежащих медицинскому освидетельствованию на ВИЧ-инфекцию, а также лиц, с установленным диагнозом ВИЧинфекции, с целью организации оказания специализированной медицинской помощи;</w:t>
      </w:r>
    </w:p>
    <w:p w14:paraId="2985A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продвижению Информационной стратегии по ВИЧ-инфекции в Республике Беларусь с акцентом на снижение стигмы и устранение связанной с ВИЧ дискриминации.</w:t>
      </w:r>
    </w:p>
    <w:p w14:paraId="07B76430">
      <w:pPr>
        <w:jc w:val="center"/>
        <w:rPr>
          <w:sz w:val="28"/>
          <w:szCs w:val="28"/>
          <w:highlight w:val="yellow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218B3432">
      <w:pPr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Показатель ЦУР 3.3.3</w:t>
      </w:r>
      <w:r>
        <w:rPr>
          <w:b/>
          <w:bCs/>
          <w:sz w:val="28"/>
          <w:szCs w:val="28"/>
          <w:u w:val="single"/>
        </w:rPr>
        <w:t xml:space="preserve"> - Заболеваемость малярией на 1000 человек</w:t>
      </w:r>
    </w:p>
    <w:p w14:paraId="745E22D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(целевой показатель 2020 год – 0,001; 2025 год – 0,001; 2030 год – 0,001)</w:t>
      </w:r>
    </w:p>
    <w:p w14:paraId="5A6AEF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Сенненском районе в течение последних 15 лет случаи малярии не регистрируются. </w:t>
      </w:r>
    </w:p>
    <w:p w14:paraId="53726B8C">
      <w:pPr>
        <w:kinsoku w:val="0"/>
        <w:overflowPunct w:val="0"/>
        <w:ind w:firstLine="709"/>
        <w:jc w:val="both"/>
        <w:textAlignment w:val="baseline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Основные направления деятельности по достижению устойчивости территории по показателю 3.3.4: </w:t>
      </w:r>
      <w:r>
        <w:rPr>
          <w:rFonts w:eastAsia="TimesNewRomanPSMT"/>
          <w:sz w:val="28"/>
          <w:szCs w:val="28"/>
        </w:rPr>
        <w:t>уделять постоянное внимание переподготовке медицинских работников по вопросам раннего выявления и лечения больных малярией и паразитоносителей с учетом сбора первичного эпиданамнеза у лиц, прибывших из эндемичных по данной инфекции стран.</w:t>
      </w:r>
    </w:p>
    <w:p w14:paraId="4D79DA50">
      <w:pPr>
        <w:jc w:val="both"/>
        <w:rPr>
          <w:rFonts w:eastAsia="Calibri"/>
          <w:iCs/>
          <w:sz w:val="28"/>
          <w:szCs w:val="28"/>
          <w:u w:val="single"/>
        </w:rPr>
      </w:pPr>
    </w:p>
    <w:p w14:paraId="56B90DC5">
      <w:pPr>
        <w:jc w:val="center"/>
        <w:rPr>
          <w:rFonts w:eastAsia="Calibri"/>
          <w:iCs/>
          <w:sz w:val="28"/>
          <w:szCs w:val="28"/>
          <w:u w:val="single"/>
        </w:rPr>
      </w:pPr>
      <w:r>
        <w:rPr>
          <w:rFonts w:eastAsia="Calibri"/>
          <w:iCs/>
          <w:sz w:val="28"/>
          <w:szCs w:val="28"/>
          <w:u w:val="single"/>
        </w:rPr>
        <w:t>Показатель 3.3.4</w:t>
      </w:r>
      <w:r>
        <w:rPr>
          <w:rFonts w:eastAsia="Calibri"/>
          <w:b/>
          <w:bCs/>
          <w:iCs/>
          <w:sz w:val="28"/>
          <w:szCs w:val="28"/>
          <w:u w:val="single"/>
        </w:rPr>
        <w:t xml:space="preserve"> – Заболеваемость гепатитом В на 100 000 человек</w:t>
      </w:r>
    </w:p>
    <w:p w14:paraId="14522F30">
      <w:pPr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(целевое значение показателя ЦУР 2020 – 11,2; 2025 – 9,5; 2030 – 8,0)</w:t>
      </w:r>
    </w:p>
    <w:p w14:paraId="2FE8F8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Витебской области показатель заболеваемости гепатитом В на 100 000 человек составил 9,29 (целевое значение показателя ЦУР на 2020 год – 11,2). В Сенненском районе в первые за 15 лет зарегистрирован 1 случай заболевания гепатитом В (5,4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  <w:vertAlign w:val="subscript"/>
        </w:rPr>
        <w:t>0000</w:t>
      </w:r>
      <w:r>
        <w:rPr>
          <w:sz w:val="28"/>
          <w:szCs w:val="28"/>
        </w:rPr>
        <w:t xml:space="preserve">).  </w:t>
      </w:r>
    </w:p>
    <w:p w14:paraId="17843D4B">
      <w:pPr>
        <w:ind w:left="-109" w:firstLine="763"/>
        <w:jc w:val="both"/>
        <w:rPr>
          <w:sz w:val="28"/>
          <w:szCs w:val="28"/>
        </w:rPr>
      </w:pPr>
      <w:r>
        <w:rPr>
          <w:sz w:val="28"/>
          <w:szCs w:val="28"/>
        </w:rPr>
        <w:t>В Сенненском районе обеспечен 100,0% охват лабораторными обследованиями на маркеры ПВГ и законченной вакцинацией контактных лиц из числа подлежащих в очагах ПВГ, проводятся контрольные (надзорные) мероприятия в организациях здравоохранения, на предприятиях бытового обслуживания, среди индивидуальных предпринимателей по вопросам профилактики распространения ПВГ.  Вакцинация новорожденных и отдельных контингентов риска проводится в рамках Национального календаря профилактических прививок.</w:t>
      </w:r>
    </w:p>
    <w:p w14:paraId="47303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Вывод</w:t>
      </w:r>
      <w:r>
        <w:rPr>
          <w:sz w:val="28"/>
          <w:szCs w:val="28"/>
        </w:rPr>
        <w:t>: показатель достигнут, межведомственное взаимодействие налажено.</w:t>
      </w:r>
    </w:p>
    <w:p w14:paraId="1F2BD3C8">
      <w:pPr>
        <w:kinsoku w:val="0"/>
        <w:overflowPunct w:val="0"/>
        <w:ind w:left="72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Основные направления деятельности по достижению устойчивости территории по показателю 3.3.4:</w:t>
      </w:r>
    </w:p>
    <w:p w14:paraId="6F6860D7">
      <w:pPr>
        <w:kinsoku w:val="0"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работа с контактными лицами в части лабораторного обследования и иммунизации;</w:t>
      </w:r>
    </w:p>
    <w:p w14:paraId="1258195C">
      <w:pPr>
        <w:kinsoku w:val="0"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расширение охвата всех слоев населения информационно-образовательной работой.</w:t>
      </w:r>
    </w:p>
    <w:p w14:paraId="58D19EA2">
      <w:pPr>
        <w:jc w:val="both"/>
        <w:rPr>
          <w:sz w:val="28"/>
          <w:szCs w:val="28"/>
        </w:rPr>
      </w:pPr>
    </w:p>
    <w:p w14:paraId="7CBFA03D">
      <w:pPr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Показатель 3.</w:t>
      </w:r>
      <w:r>
        <w:rPr>
          <w:sz w:val="28"/>
          <w:szCs w:val="28"/>
          <w:u w:val="single"/>
          <w:lang w:val="en-US"/>
        </w:rPr>
        <w:t>b</w:t>
      </w:r>
      <w:r>
        <w:rPr>
          <w:sz w:val="28"/>
          <w:szCs w:val="28"/>
          <w:u w:val="single"/>
        </w:rPr>
        <w:t>.1 –</w:t>
      </w:r>
      <w:r>
        <w:rPr>
          <w:b/>
          <w:bCs/>
          <w:sz w:val="28"/>
          <w:szCs w:val="28"/>
          <w:u w:val="single"/>
        </w:rPr>
        <w:t xml:space="preserve"> Доля целевой группы населения, охваченной иммунизацией всеми вакцинами, включенными в национальный календарь</w:t>
      </w:r>
    </w:p>
    <w:p w14:paraId="233962A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(целевое значение 2020 год – 97%, 2025 – 97%)</w:t>
      </w:r>
    </w:p>
    <w:p w14:paraId="5E7339D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Фактическое значение корь, эпидемический паротит, краснуха – 97,9; полиомиелит – 98,2; дифтерия, столбняк, коклюш – по всем возрастным группам 98,2; туберкулез – 98,1; вирусный гепатит В – 98,21%).</w:t>
      </w:r>
    </w:p>
    <w:p w14:paraId="058007A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Вакцинация в рамках Национального календаря профилактических прививок Республики Беларусь проводится в 2024 по заблаговременно составленным с учетом численности населения планам и заявкам, на основании которых осуществляется централизованная закупка иммунобиологических лекарственных средств.</w:t>
      </w:r>
    </w:p>
    <w:p w14:paraId="1BB1DA1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Осуществляется постоянный контроль за целевым использованием до окончания срока годности иммунобиологических лекарственных средств.</w:t>
      </w:r>
    </w:p>
    <w:p w14:paraId="1107C6E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Организовано функционирование многоуровневой системы работы с лицами, отказывающимися от проведения профилактических прививок. Проводится работа с религиозными конфессиями, этническими меньшинствами. Межведомственное взаимодействие с местной исполнительной властью, с местными руководителями (главами) религиозных организаций, конфессий и др. позволяет уменьшить количество отказавшихся лиц от вакцинации.   </w:t>
      </w:r>
    </w:p>
    <w:p w14:paraId="7267122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целом рекомендуемые показатели охвата детского и взрослого населения профилактическими прививками в рамках Национального календаря по итогам за 2024 год достигнуты.</w:t>
      </w:r>
    </w:p>
    <w:p w14:paraId="7730CB9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Направления деятельности</w:t>
      </w:r>
      <w:r>
        <w:rPr>
          <w:rFonts w:eastAsia="Calibri"/>
          <w:sz w:val="28"/>
          <w:szCs w:val="28"/>
        </w:rPr>
        <w:t xml:space="preserve">: поддержание эффективного функционирования многоуровневой системы работы с лицами, отказывающимися от проведения профилактических прививок; проведение информационно-разъяснительной работы с населением о необходимости проведения профилактических прививок. </w:t>
      </w:r>
    </w:p>
    <w:p w14:paraId="25FE72B0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D828AE7">
      <w:pPr>
        <w:ind w:firstLine="709"/>
        <w:jc w:val="center"/>
        <w:rPr>
          <w:b/>
          <w:bCs/>
          <w:sz w:val="28"/>
          <w:szCs w:val="28"/>
          <w:u w:val="single"/>
          <w:lang w:eastAsia="es-ES"/>
        </w:rPr>
      </w:pPr>
      <w:r>
        <w:rPr>
          <w:sz w:val="28"/>
          <w:szCs w:val="28"/>
          <w:u w:val="single"/>
          <w:lang w:eastAsia="es-ES"/>
        </w:rPr>
        <w:t>Показатель 3.</w:t>
      </w:r>
      <w:r>
        <w:rPr>
          <w:sz w:val="28"/>
          <w:szCs w:val="28"/>
          <w:u w:val="single"/>
          <w:lang w:val="en-US" w:eastAsia="es-ES"/>
        </w:rPr>
        <w:t>d</w:t>
      </w:r>
      <w:r>
        <w:rPr>
          <w:sz w:val="28"/>
          <w:szCs w:val="28"/>
          <w:u w:val="single"/>
          <w:lang w:eastAsia="es-ES"/>
        </w:rPr>
        <w:t xml:space="preserve">.1 – </w:t>
      </w:r>
      <w:r>
        <w:rPr>
          <w:b/>
          <w:bCs/>
          <w:sz w:val="28"/>
          <w:szCs w:val="28"/>
          <w:u w:val="single"/>
          <w:lang w:eastAsia="es-ES"/>
        </w:rPr>
        <w:t>Способность соблюдать Международные медико-санитарные правила (ММПС) и готовность к чрезвычайным ситуациям в области общественного здравоохранения</w:t>
      </w:r>
    </w:p>
    <w:p w14:paraId="041785E8">
      <w:pPr>
        <w:ind w:firstLine="709"/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(целевое значение не разработано)</w:t>
      </w:r>
    </w:p>
    <w:p w14:paraId="1578B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Комплексным планом мероприятий по санитарной охране на 2021-2025 годы, нормативными документами МЗ РБ по профилактике бешенства и другими ТНПА проведены мероприятия по профилактике особо опасных инфекций, которые позволили предотвратить заболевание людей инфекциями, имеющими международное значение, бешенством, туляремией, бруцеллезом, геморрагической лихорадкой с почечным синдромом, сибирской язвой; организациями здравоохранения и санитарно-эпидемиологической службой постоянно поддерживается готовность к работе в условиях завоза и выявления ООИ.</w:t>
      </w:r>
    </w:p>
    <w:p w14:paraId="53BAE32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взаимообмен информацией по наиболее значимым инфекционным заболеваниям, в том числе особо опасным и природно-очаговым инфекциям между учреждениями, осуществляющими государственный санитарный надзор на приграничных территориях.</w:t>
      </w:r>
    </w:p>
    <w:p w14:paraId="43A9C6A8">
      <w:pPr>
        <w:ind w:left="-108" w:firstLine="817"/>
        <w:jc w:val="both"/>
        <w:rPr>
          <w:sz w:val="28"/>
          <w:szCs w:val="28"/>
        </w:rPr>
      </w:pPr>
      <w:r>
        <w:rPr>
          <w:sz w:val="28"/>
          <w:szCs w:val="28"/>
        </w:rPr>
        <w:t>Вывод: межведомственное взаимодействие налажено, анализ косвенных показателей свидетельствует о</w:t>
      </w:r>
      <w:r>
        <w:rPr>
          <w:b/>
          <w:bCs/>
          <w:sz w:val="28"/>
          <w:szCs w:val="28"/>
          <w:lang w:eastAsia="es-ES"/>
        </w:rPr>
        <w:t xml:space="preserve"> </w:t>
      </w:r>
      <w:r>
        <w:rPr>
          <w:sz w:val="28"/>
          <w:szCs w:val="28"/>
          <w:lang w:eastAsia="es-ES"/>
        </w:rPr>
        <w:t>готовность к чрезвычайным ситуациям в области общественного здравоохранения</w:t>
      </w:r>
      <w:r>
        <w:rPr>
          <w:sz w:val="28"/>
          <w:szCs w:val="28"/>
        </w:rPr>
        <w:t>.</w:t>
      </w:r>
    </w:p>
    <w:p w14:paraId="6336F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поддержания достигнутой устойчивости необходимо держать на постоянном контроле готовность к эффективному раннему реагированию на чрезвычайные ситуации, связанные с особо опасными инфекциями</w:t>
      </w:r>
    </w:p>
    <w:p w14:paraId="4E208366">
      <w:pPr>
        <w:ind w:firstLine="709"/>
        <w:jc w:val="both"/>
        <w:rPr>
          <w:rFonts w:eastAsia="Calibri"/>
          <w:sz w:val="28"/>
          <w:szCs w:val="28"/>
        </w:rPr>
      </w:pPr>
    </w:p>
    <w:p w14:paraId="505DC34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  <w:u w:val="single"/>
        </w:rPr>
        <w:t xml:space="preserve">Показатель 3.9.1 </w:t>
      </w:r>
      <w:r>
        <w:rPr>
          <w:rFonts w:eastAsia="Calibri"/>
          <w:b/>
          <w:bCs/>
          <w:i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Смертность от загрязнения воздуха в жилых помещениях и атмосферного воздуха</w:t>
      </w:r>
    </w:p>
    <w:p w14:paraId="3818A7B3">
      <w:pPr>
        <w:ind w:firstLine="709"/>
        <w:jc w:val="center"/>
        <w:rPr>
          <w:rFonts w:eastAsia="Calibri"/>
          <w:i/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eastAsia="Calibri"/>
          <w:i/>
          <w:iCs/>
          <w:sz w:val="28"/>
          <w:szCs w:val="28"/>
        </w:rPr>
        <w:t>(целевое значение находится в разработке)</w:t>
      </w:r>
    </w:p>
    <w:p w14:paraId="24E6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 загрязнения атмосферного воздуха в Сенненском районе являются промышленные и коммунальные предприятия, автомобильный и железнодорожный транспорт. </w:t>
      </w:r>
    </w:p>
    <w:p w14:paraId="313EE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Проведенные в 2024 году замеры от выбросов не выявляли превышения допустимых уровней загрязняющих веществ. В 2024 году объём выбросов от стационарных источников составил 1,02 тыс. тонн, что выше, чем в 2023 году в 22,9%. При этом 2016 г. по 2020 г.,  наблюдается тенденция постепенного уменьшения объемов выбросов загрязняющих веществ в атмосферный воздух от стационарных источников: 2016 г. </w:t>
      </w:r>
      <w:r>
        <w:rPr>
          <w:color w:val="000000"/>
          <w:spacing w:val="1"/>
          <w:sz w:val="28"/>
          <w:szCs w:val="28"/>
        </w:rPr>
        <w:t>–</w:t>
      </w:r>
      <w:r>
        <w:rPr>
          <w:sz w:val="28"/>
          <w:szCs w:val="28"/>
        </w:rPr>
        <w:t xml:space="preserve"> 0,89 тыс. тонн; 2018 г. – 0,66 тыс. тонн, 2020 г. – 0,60 тыс. тонн.</w:t>
      </w:r>
    </w:p>
    <w:p w14:paraId="564D5EC7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Многолетняя динамика за период 2015-2024 годы характеризуется тенденцией к умеренному снижению с темпом прироста (-2,2%)</w:t>
      </w:r>
      <w:r>
        <w:rPr>
          <w:sz w:val="28"/>
          <w:szCs w:val="28"/>
        </w:rPr>
        <w:t xml:space="preserve">.  </w:t>
      </w:r>
    </w:p>
    <w:p w14:paraId="7139E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Проекты санитарно-защитных зон (далее – СЗЗ) разработаны для всех предприятий района. </w:t>
      </w:r>
    </w:p>
    <w:p w14:paraId="551F12EA">
      <w:pPr>
        <w:tabs>
          <w:tab w:val="left" w:pos="6225"/>
        </w:tabs>
        <w:ind w:firstLine="74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Анализ косвенных показателей по ЦУР 3.9.1: средняя многолетняя динамика за период 2015-2024 годы общей заболеваемости бронхиальной астмой, хроническим бронхитом, болезнями системы кровообращения характеризуется умеренной тенденцией к снижению.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В 2024 году по сравнению с 2023 годом наметилась тенденция к снижению заболеваемости туберкулёзом по Сенненскому району, многолетняя динамика </w:t>
      </w:r>
      <w:r>
        <w:rPr>
          <w:sz w:val="28"/>
          <w:szCs w:val="28"/>
          <w:lang w:eastAsia="en-US"/>
        </w:rPr>
        <w:t xml:space="preserve">за период 2015-2024 годы </w:t>
      </w:r>
      <w:r>
        <w:rPr>
          <w:rFonts w:eastAsia="Calibri"/>
          <w:sz w:val="28"/>
          <w:szCs w:val="28"/>
        </w:rPr>
        <w:t xml:space="preserve">характеризуется </w:t>
      </w:r>
      <w:r>
        <w:rPr>
          <w:rFonts w:eastAsia="Calibri"/>
          <w:bCs/>
          <w:iCs/>
          <w:sz w:val="28"/>
          <w:szCs w:val="28"/>
        </w:rPr>
        <w:t xml:space="preserve">не устойчивой динамикой с отрицательным </w:t>
      </w:r>
      <w:r>
        <w:rPr>
          <w:rFonts w:eastAsia="Calibri"/>
          <w:sz w:val="28"/>
          <w:szCs w:val="28"/>
        </w:rPr>
        <w:t>темпом среднегодового прироста (-6,6%).</w:t>
      </w:r>
    </w:p>
    <w:p w14:paraId="6C67B1B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Темп среднегодового прироста первичной заболеваемости врожденными аномалиями и хромосомными нарушениями у детей за период 2015-2024 годы составил (-14,6%), многолетняя динамика характеризуется достоверной тенденцией к умеренному снижению.</w:t>
      </w:r>
    </w:p>
    <w:p w14:paraId="4ED4D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Вывод</w:t>
      </w:r>
      <w:r>
        <w:rPr>
          <w:sz w:val="28"/>
          <w:szCs w:val="28"/>
        </w:rPr>
        <w:t>: отсутствие целевого показателя не позволяет сделать однозначный вывод о достижении показателя ЦУР, вместе с тем наметилась положительная динамика по улучшению качества атмосферного воздуха, межведомственное взаимодействие налажено.</w:t>
      </w:r>
    </w:p>
    <w:p w14:paraId="56B8BCB3">
      <w:pPr>
        <w:ind w:firstLine="709"/>
        <w:jc w:val="both"/>
        <w:rPr>
          <w:sz w:val="28"/>
          <w:szCs w:val="28"/>
        </w:rPr>
      </w:pPr>
    </w:p>
    <w:p w14:paraId="082BFEF0">
      <w:pPr>
        <w:ind w:firstLine="709"/>
        <w:jc w:val="center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Показатель 3.9.2 – </w:t>
      </w:r>
      <w:r>
        <w:rPr>
          <w:rFonts w:eastAsia="Calibri"/>
          <w:b/>
          <w:bCs/>
          <w:sz w:val="28"/>
          <w:szCs w:val="28"/>
          <w:u w:val="single"/>
        </w:rPr>
        <w:t>Смертность от отсутствия безопасной воды, безопасной санитарии и гигиены</w:t>
      </w:r>
    </w:p>
    <w:p w14:paraId="1AE003D9">
      <w:pPr>
        <w:ind w:firstLine="709"/>
        <w:jc w:val="center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 xml:space="preserve"> (от отсутствия безопасных услуг в области водоснабжения, санитарии и гигиены (ВССГ) для всех)</w:t>
      </w:r>
    </w:p>
    <w:p w14:paraId="1F005A53">
      <w:pPr>
        <w:ind w:firstLine="709"/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(целевое значение находится в разработке)</w:t>
      </w:r>
    </w:p>
    <w:p w14:paraId="6B95E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населения питьевой водой из централизованных систем водоснабжения на конец 2024 года составила 85,1% (в 2023 г. – 84,6%). Исходная вода из артезианских скважин характеризуется повышенным содержанием железа, на территории района функционирует одиннадцать станций обезжелезивания. </w:t>
      </w:r>
    </w:p>
    <w:p w14:paraId="70FFF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мероприятий подпрограммы 5 «Чистая вода» в 2024 году введено в эксплуатацию две станции обезжелезивания (н.п. Пламя, н.п. Яново), предусмотрено проектирование, строительство одного объекта станции обезжелезивания, предусмотрены мероприятия по реконструкции, модернизации, ремонту сетей водоснабжения в населенных пунктах района. </w:t>
      </w:r>
    </w:p>
    <w:p w14:paraId="26138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Проблемным аспектом водообеспечения населения района является   большое количество населенных пунктов, не имеющих централизованного водоснабжения, с численностью проживающего населения до 10 человек – 41%. Соответственно отсутствует экономическая целесообразность организации централизованного водоснабжения данных населенных пунктов.</w:t>
      </w:r>
    </w:p>
    <w:p w14:paraId="57398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по состоянию на 2024 год 1115 колодцев, из них 365 общественных и 750 частных. Значимым условием в малых населенных пунктах является дальнейшее уменьшение численности населения в них, соответственно уменьшением числа пользователей воды из децентрализованных источников водоснабжения, и как следствие, уменьшения разбора воды. Это ведет к необходимости дополнительных работ по объему и кратности с целью недопущения ухудшения качества воды этих источников.</w:t>
      </w:r>
    </w:p>
    <w:p w14:paraId="5450B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Вывод:</w:t>
      </w:r>
      <w:r>
        <w:rPr>
          <w:sz w:val="28"/>
          <w:szCs w:val="28"/>
        </w:rPr>
        <w:t xml:space="preserve"> положительная динамика достижения показателя ЦУР, вместе с тем необходимо продолжить работу и активизировать межведомственное взаимодействие. </w:t>
      </w:r>
    </w:p>
    <w:p w14:paraId="3686B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деятельности: владельцам водопроводов – неукоснительное выполнение порядка санитарной обработки сооружений и сетей систем централизованного хозяйственно-питьевого водоснабжения, соблюдение технологических регламентов по содержанию и обслуживанию водопроводов, предоставление аналитической информации о результатах ведомственного лабораторного контроля качества питьевой воды; максимальный охват лабораторными исследованиями общественных нецентрализованных источников питьевого водоснабжения; разработка информационной стратегии работы с населением по вопросам воды и здоровья, в первую очередь с применением информационного ресурса глобальной сети интернет.</w:t>
      </w:r>
    </w:p>
    <w:p w14:paraId="693CABC8">
      <w:pPr>
        <w:ind w:firstLine="709"/>
        <w:jc w:val="both"/>
        <w:rPr>
          <w:sz w:val="28"/>
          <w:szCs w:val="28"/>
        </w:rPr>
      </w:pPr>
    </w:p>
    <w:p w14:paraId="54DD298C">
      <w:pPr>
        <w:jc w:val="center"/>
        <w:rPr>
          <w:sz w:val="28"/>
          <w:szCs w:val="28"/>
          <w:u w:val="single"/>
        </w:rPr>
      </w:pPr>
    </w:p>
    <w:p w14:paraId="579718C2">
      <w:pPr>
        <w:jc w:val="center"/>
        <w:rPr>
          <w:rFonts w:eastAsia="Calibri"/>
          <w:i/>
          <w:iCs/>
          <w:sz w:val="28"/>
          <w:szCs w:val="28"/>
        </w:rPr>
      </w:pPr>
      <w:r>
        <w:rPr>
          <w:sz w:val="28"/>
          <w:szCs w:val="28"/>
          <w:u w:val="single"/>
        </w:rPr>
        <w:t>Показатель 6.</w:t>
      </w:r>
      <w:r>
        <w:rPr>
          <w:sz w:val="28"/>
          <w:szCs w:val="28"/>
          <w:u w:val="single"/>
          <w:lang w:val="en-US"/>
        </w:rPr>
        <w:t>b</w:t>
      </w:r>
      <w:r>
        <w:rPr>
          <w:sz w:val="28"/>
          <w:szCs w:val="28"/>
          <w:u w:val="single"/>
        </w:rPr>
        <w:t>.1</w:t>
      </w:r>
      <w:r>
        <w:rPr>
          <w:b/>
          <w:bCs/>
          <w:sz w:val="28"/>
          <w:szCs w:val="28"/>
          <w:u w:val="single"/>
        </w:rPr>
        <w:t xml:space="preserve"> – Доля местных административных единиц, в которых действуют правила и процедуры участия граждан в управлении водными ресурсами и санитарией</w:t>
      </w:r>
      <w:r>
        <w:rPr>
          <w:rFonts w:eastAsia="Calibri"/>
          <w:i/>
          <w:iCs/>
          <w:sz w:val="28"/>
          <w:szCs w:val="28"/>
        </w:rPr>
        <w:t xml:space="preserve"> </w:t>
      </w:r>
    </w:p>
    <w:p w14:paraId="5A9DA30A">
      <w:pPr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(целевое значение находится в разработке)</w:t>
      </w:r>
    </w:p>
    <w:p w14:paraId="6C84A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Косвенные показатели: по оборудованию жилого фонда динамика устойчиво положительная, однако жилой фонд в сельской местности значительно уступает по удельному весу оборудованного жилья. Удельный вес проб воды из коммунальных и ведомственных водопроводов, не соответствующих гигиеническим требованиям, значительно снизился за анализируемый период. В 2024 году не выявлено несоответствующих гигиеническим нормативам проб из открытых водоёмов; водопотребление находится в диапазоне 100 до 200 литров в сутки на человека; темп среднегодового прироста первичной заболеваемости инфекционными и паразитарными болезнями характеризуется </w:t>
      </w:r>
      <w:r>
        <w:rPr>
          <w:bCs/>
          <w:iCs/>
          <w:sz w:val="28"/>
          <w:szCs w:val="28"/>
        </w:rPr>
        <w:t xml:space="preserve">не устойчивой динамикой с положительным </w:t>
      </w:r>
      <w:r>
        <w:rPr>
          <w:sz w:val="28"/>
          <w:szCs w:val="28"/>
        </w:rPr>
        <w:t xml:space="preserve">темпом среднегодового прироста +1,6%). </w:t>
      </w:r>
    </w:p>
    <w:p w14:paraId="38AC5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Вывод</w:t>
      </w:r>
      <w:r>
        <w:rPr>
          <w:sz w:val="28"/>
          <w:szCs w:val="28"/>
        </w:rPr>
        <w:t>: динамика положительная по достижению устойчивости территории в области обеспечения базовыми санитарно-гигиеническими условиями, необходимо продолжить работу и активизировать межведомственное взаимодействие.</w:t>
      </w:r>
    </w:p>
    <w:p w14:paraId="6215BE8D">
      <w:pPr>
        <w:pStyle w:val="30"/>
        <w:spacing w:before="0" w:beforeAutospacing="0" w:after="0" w:afterAutospacing="0"/>
        <w:rPr>
          <w:rFonts w:eastAsia="Calibri"/>
          <w:sz w:val="28"/>
          <w:szCs w:val="28"/>
          <w:u w:val="single"/>
          <w:lang w:eastAsia="en-US"/>
        </w:rPr>
      </w:pPr>
    </w:p>
    <w:p w14:paraId="773C1E95">
      <w:pPr>
        <w:pStyle w:val="30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Показатель 3.а.1.1 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>Распространенность употребления табака лицами в возрасте 16 лет и старше</w:t>
      </w:r>
    </w:p>
    <w:p w14:paraId="586E2187">
      <w:pPr>
        <w:pStyle w:val="30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(целевое значение отсутствует).</w:t>
      </w:r>
    </w:p>
    <w:p w14:paraId="14092B5C">
      <w:pPr>
        <w:pStyle w:val="30"/>
        <w:spacing w:before="0" w:beforeAutospacing="0" w:after="0" w:afterAutospacing="0"/>
        <w:ind w:firstLine="708"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color w:val="000000"/>
          <w:spacing w:val="1"/>
          <w:sz w:val="28"/>
          <w:szCs w:val="28"/>
          <w:u w:val="single"/>
        </w:rPr>
        <w:t>Распространенность употребления табака населением в возрасте 16 лет и старше</w:t>
      </w:r>
      <w:r>
        <w:rPr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 2024 году в Сенненском районе составила </w:t>
      </w:r>
      <w:r>
        <w:rPr>
          <w:sz w:val="28"/>
          <w:szCs w:val="28"/>
        </w:rPr>
        <w:t>25,4% (Витебская область 25%, республика Беларусь 23,0%).</w:t>
      </w:r>
    </w:p>
    <w:p w14:paraId="3ED130CE">
      <w:pPr>
        <w:ind w:firstLine="708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 проведении анализа данного показателя отмечается снижение на 13,0% в 2024 году числа лиц 16 лет и старше, употребляющих табак. В многолетней динамике распространенность употребление табака в возрасте 16 лет и старше за период 2020-2024 годы по Сенненскому району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  <w14:textFill>
            <w14:solidFill>
              <w14:schemeClr w14:val="tx1"/>
            </w14:solidFill>
          </w14:textFill>
        </w:rPr>
        <w:t xml:space="preserve"> не имеет выраженной тенденции к снижению.</w:t>
      </w:r>
    </w:p>
    <w:p w14:paraId="7A4A1424">
      <w:pPr>
        <w:ind w:right="119" w:firstLine="709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 w:cs="Calibri"/>
          <w:sz w:val="28"/>
          <w:szCs w:val="28"/>
          <w:lang w:eastAsia="en-US"/>
        </w:rPr>
        <w:t xml:space="preserve">По вопросам профилактики табакокурения информационно-образовательная работа проводится совместно с заинтересованными ведомствами. </w:t>
      </w:r>
      <w:r>
        <w:rPr>
          <w:sz w:val="28"/>
          <w:szCs w:val="28"/>
        </w:rPr>
        <w:t>Проведено 4 масштабных акции (1650 участников) -” Вместе за здоровое будущее“,” Беларусь против табака“,” Неделя спорта и здоровья“,” Наркотики. Ответственность. Последствия“. На сайтах размещено 71 информация.</w:t>
      </w:r>
      <w:r>
        <w:rPr>
          <w:rFonts w:eastAsia="Calibri" w:cs="Calibri"/>
          <w:sz w:val="28"/>
          <w:szCs w:val="28"/>
          <w:lang w:eastAsia="en-US"/>
        </w:rPr>
        <w:t xml:space="preserve"> </w:t>
      </w:r>
    </w:p>
    <w:p w14:paraId="06F3A9F5">
      <w:pPr>
        <w:ind w:firstLine="708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Н</w:t>
      </w:r>
      <w:r>
        <w:rPr>
          <w:sz w:val="28"/>
          <w:szCs w:val="28"/>
        </w:rPr>
        <w:t xml:space="preserve">а базе ГСПУ «Сенненский детский дом» реализуется локальный проект по профилактике табакокурения «Табак - мне враг!». </w:t>
      </w:r>
    </w:p>
    <w:p w14:paraId="4CCBDFA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целью снижения потребления табака и табачных изделий населением района необходимо:</w:t>
      </w:r>
    </w:p>
    <w:p w14:paraId="4450576C">
      <w:pPr>
        <w:ind w:firstLine="709"/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осуществление действенного контроля за запретом курения в общественных местах, продажей табачных изделий несовершеннолетним, в соответствии с действующим законодательством, ограничение мест и времени продажи табачных изделий, расширение зон свободных от курения;</w:t>
      </w:r>
    </w:p>
    <w:p w14:paraId="59369BD4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lang w:eastAsia="en-US"/>
        </w:rPr>
        <w:t xml:space="preserve"> информационно-образовательная деятельность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  <w14:textFill>
            <w14:solidFill>
              <w14:schemeClr w14:val="tx1"/>
            </w14:solidFill>
          </w14:textFill>
        </w:rPr>
        <w:t xml:space="preserve"> совместно с заинтересованными ведомствами и общественными организациями (объединениями)</w:t>
      </w:r>
      <w:r>
        <w:rPr>
          <w:rFonts w:eastAsia="Calibri"/>
          <w:sz w:val="28"/>
          <w:lang w:eastAsia="en-US"/>
        </w:rPr>
        <w:t>, направленную на повышение заинтересованности людей   в принятии позитивных решений в отношении своего здоровья и отказа от курения;</w:t>
      </w:r>
    </w:p>
    <w:p w14:paraId="1F050CCD">
      <w:pPr>
        <w:ind w:firstLine="709"/>
        <w:jc w:val="both"/>
        <w:rPr>
          <w:rFonts w:eastAsia="Calibri"/>
          <w:sz w:val="28"/>
          <w:szCs w:val="30"/>
          <w:lang w:eastAsia="en-US"/>
        </w:rPr>
      </w:pPr>
      <w:r>
        <w:rPr>
          <w:rFonts w:eastAsia="Calibri"/>
          <w:sz w:val="28"/>
          <w:lang w:eastAsia="en-US"/>
        </w:rPr>
        <w:t xml:space="preserve">   реализация локального проекта по профилактике табакокурения на базе </w:t>
      </w:r>
      <w:r>
        <w:rPr>
          <w:sz w:val="28"/>
          <w:szCs w:val="28"/>
        </w:rPr>
        <w:t>ГСПУ «Сенненский детский дом» и реализация государственного</w:t>
      </w:r>
      <w:r>
        <w:rPr>
          <w:rFonts w:eastAsia="Calibri"/>
          <w:sz w:val="28"/>
          <w:szCs w:val="28"/>
        </w:rPr>
        <w:t xml:space="preserve"> профилактического проекта «Здоровые города и поселки»;</w:t>
      </w:r>
    </w:p>
    <w:p w14:paraId="1FC8E6D2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проведение районных информационных кампаний по проблемам табака, участие в проведении республиканских акций здоровья; </w:t>
      </w:r>
    </w:p>
    <w:p w14:paraId="794BD1AA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проведение на всех этапах первичной медицинской помощи целенаправленной работы с группами риска по отношению к курению;   инициирование перед руководителями организаций всех форм собственности при приеме на работу и заключении контрактов внесение пункта о запрете курения на территории организации и внесение в коллективные договоры пункта о материальном поощрении сотрудников, не курящих, ведущих здоровый образ жизни.</w:t>
      </w:r>
    </w:p>
    <w:p w14:paraId="6CB75C9E">
      <w:pPr>
        <w:rPr>
          <w:rFonts w:eastAsia="Calibri"/>
          <w:bCs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</w:rPr>
        <w:t xml:space="preserve"> </w:t>
      </w:r>
    </w:p>
    <w:p w14:paraId="466FCD0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6.3 Основные приоритетные мероприятия деятельности по улучшению популяционного здоровья и среды обитания для достижения показателей Целей устойчивого развития</w:t>
      </w:r>
    </w:p>
    <w:p w14:paraId="4A1A7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по укреплению здоровья, профилактике болезней и формированию среди населения здорового образа жизни   являются: </w:t>
      </w:r>
    </w:p>
    <w:p w14:paraId="751AF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межведомственного взаимодействия, сопровождение и реализация государственных и территориальных программ, отраслевых документов стратегического планирования, региональных программ и проектов, в том числе Государственной программы «Здоровье народа и демографическая безопасность» на 2021-2025 годы, подпрограммы 2 «Благоустройство» и подпрограммы 5 «Чистая вода» государственной программы «Комфортное жилье и благоприятная среда» на 2021-2025 годы;  </w:t>
      </w:r>
    </w:p>
    <w:p w14:paraId="26C40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питания обучающихся в учреждениях образования, контроля за выполнением установленных норм питания, организацией диетического (лечебного и профилактического) питания, снижением в рационах питания содержания соли и сахара; </w:t>
      </w:r>
    </w:p>
    <w:p w14:paraId="4909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государственного санитарного надзора по реализации законодательства, направленного на снижение потенциального риска влияния вредных факторов среды обитания, небезопасной продукции для жизни и здоровья человека; </w:t>
      </w:r>
    </w:p>
    <w:p w14:paraId="0BCF1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государственного санитарного надзора за питьевым водоснабжением населения, обеспечение полноты и объективности проводимых надзорных мероприятий в отношении субъектов хозяйствования (балансодержателей водопроводных сетей), в том числе в части повышения их результативности и эффективности; </w:t>
      </w:r>
    </w:p>
    <w:p w14:paraId="22657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 системной основе государственного санитарного надзора за перспективным планированием (зонированием) территорий населенных пунктов, санитарно-защитными зонами объектов, оказывающих воздействие на здоровье человека и окружающую среду, организации и проведения лабораторного контроля качества атмосферного воздуха и физических факторов;</w:t>
      </w:r>
    </w:p>
    <w:p w14:paraId="2968A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государственного санитарного надзора, в том числе лабораторного сопровождения, за условиями труда работающих на промышленных предприятиях, в сельскохозяйственных организациях, обеспечение гигиенического сопровождения территориальных программ, комплексных планов мероприятий по улучшению условий труда и профилактике профессиональных заболеваний. Использование оценки профессионального риска для взаимосвязи формирования профессиональной и производственно-обусловленной заболеваемости с условиями труда работающих и разработки мероприятий по сохранению здоровья работающего населения;</w:t>
      </w:r>
    </w:p>
    <w:p w14:paraId="2E746DE6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обеспечения проведения сравнительного эпидемиологического анализа неинфекционной заболеваемости;</w:t>
      </w:r>
    </w:p>
    <w:p w14:paraId="43A8EC6B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изучения формирования и преодоления резистентности микроорганизмов к антимикробным препаратам;</w:t>
      </w:r>
    </w:p>
    <w:p w14:paraId="428292DF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обеспечения эффективного функционирования системы эпидемиологического слежения за инфекционными заболеваниями в целях своевременного и эффективного реагирования на складывающуюся эпидемиологическую ситуацию на всех уровнях;</w:t>
      </w:r>
    </w:p>
    <w:p w14:paraId="26495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противоэпидемической готовности   учреждения, осуществляющего государственный санитарный надзор, к реагированию на чрезвычайные ситуации в области общественного здравоохранения, имеющие международное значение; </w:t>
      </w:r>
    </w:p>
    <w:p w14:paraId="65E42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внедрения научно-обоснованных эффективных мер профилактики ВИЧ-инфекции, в том числе среди ключевых групп населения (кабинеты профилактики ВИЧ-инфекции и ПВГ среди потребителей инъекционных наркотиков; доконтактная профилактика ВИЧ и др.) и обеспечение устойчивости предоставления профилактических услуг по предупреждению распространения социально опасных заболеваний, ВИЧ»;  </w:t>
      </w:r>
    </w:p>
    <w:p w14:paraId="7DA10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и реализация оптимизированной системы эпидемиологического слежения за нежелательными реакциями, связанными с применением иммунобиологических лекарственных средств, оптимизированной тактики вакцинопрофилактики отдельных инфекционных заболеваний в соответствии с Национальным календарем профилактических прививок Республики Беларусь, системы эпидемиологического слежения за внебольничными пневмониями; </w:t>
      </w:r>
    </w:p>
    <w:p w14:paraId="254E2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реализация государственного профилактического проекта «Здоровые города и поселки» на территории района; </w:t>
      </w:r>
    </w:p>
    <w:p w14:paraId="436D4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дальнейшее вовлечение учреждений образования района в реализацию межведомственного профилактического проекта «Школа – территория здоровья»; </w:t>
      </w:r>
    </w:p>
    <w:p w14:paraId="514AA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 совместно с заинтересованными ведомствами, религиозными конфессиями, общественными объединениями районных профилактических проектов и широкомасштабных мероприятий (выставок, акций, фестивалей),  создание социальной рекламы по продвижению здорового образа жизни с учетом сложившейся ситуации (экологической, медико-демографической) для различных возрастных групп населения, в том числе групп риска, направленных на популяризацию здорового образа жизни, пропаганду физической активности, здорового питания,  традиционных семейных ценностей, противодействие потреблению табака,  минимизацию поведенческих факторов риска, формирование личной ответственности за сохранение и укрепление здоровья.</w:t>
      </w:r>
    </w:p>
    <w:bookmarkEnd w:id="10"/>
    <w:p w14:paraId="393B0C60">
      <w:pPr>
        <w:jc w:val="right"/>
        <w:rPr>
          <w:sz w:val="28"/>
          <w:szCs w:val="28"/>
        </w:rPr>
      </w:pPr>
    </w:p>
    <w:p w14:paraId="2956A108">
      <w:pPr>
        <w:jc w:val="right"/>
        <w:rPr>
          <w:sz w:val="28"/>
          <w:szCs w:val="28"/>
        </w:rPr>
      </w:pPr>
    </w:p>
    <w:p w14:paraId="7B6C87CB">
      <w:pPr>
        <w:jc w:val="right"/>
        <w:rPr>
          <w:b/>
          <w:i/>
          <w:sz w:val="28"/>
          <w:szCs w:val="28"/>
        </w:rPr>
      </w:pPr>
    </w:p>
    <w:p w14:paraId="0DA2796D">
      <w:pPr>
        <w:jc w:val="right"/>
        <w:rPr>
          <w:b/>
          <w:i/>
          <w:sz w:val="28"/>
          <w:szCs w:val="28"/>
        </w:rPr>
      </w:pPr>
    </w:p>
    <w:p w14:paraId="2D18F5AF">
      <w:pPr>
        <w:jc w:val="right"/>
        <w:rPr>
          <w:b/>
          <w:i/>
          <w:sz w:val="28"/>
          <w:szCs w:val="28"/>
        </w:rPr>
      </w:pPr>
    </w:p>
    <w:p w14:paraId="3A847BE5">
      <w:pPr>
        <w:jc w:val="right"/>
        <w:rPr>
          <w:b/>
          <w:i/>
          <w:sz w:val="28"/>
          <w:szCs w:val="28"/>
        </w:rPr>
      </w:pPr>
    </w:p>
    <w:p w14:paraId="7E0D9D1D">
      <w:pPr>
        <w:jc w:val="right"/>
        <w:rPr>
          <w:b/>
          <w:i/>
          <w:sz w:val="28"/>
          <w:szCs w:val="28"/>
        </w:rPr>
      </w:pPr>
    </w:p>
    <w:p w14:paraId="2C1F6169">
      <w:pPr>
        <w:jc w:val="right"/>
        <w:rPr>
          <w:b/>
          <w:i/>
          <w:sz w:val="28"/>
          <w:szCs w:val="28"/>
        </w:rPr>
      </w:pPr>
    </w:p>
    <w:p w14:paraId="5C30160D">
      <w:pPr>
        <w:jc w:val="right"/>
        <w:rPr>
          <w:b/>
          <w:i/>
          <w:sz w:val="28"/>
          <w:szCs w:val="28"/>
        </w:rPr>
      </w:pPr>
    </w:p>
    <w:p w14:paraId="70DD648C">
      <w:pPr>
        <w:jc w:val="right"/>
        <w:rPr>
          <w:b/>
          <w:i/>
          <w:sz w:val="28"/>
          <w:szCs w:val="28"/>
        </w:rPr>
      </w:pPr>
    </w:p>
    <w:p w14:paraId="2BC1880C">
      <w:pPr>
        <w:jc w:val="right"/>
        <w:rPr>
          <w:b/>
          <w:i/>
          <w:sz w:val="28"/>
          <w:szCs w:val="28"/>
        </w:rPr>
      </w:pPr>
    </w:p>
    <w:p w14:paraId="4E782271">
      <w:pPr>
        <w:jc w:val="right"/>
        <w:rPr>
          <w:b/>
          <w:i/>
          <w:sz w:val="28"/>
          <w:szCs w:val="28"/>
        </w:rPr>
      </w:pPr>
    </w:p>
    <w:p w14:paraId="0EC977B9">
      <w:pPr>
        <w:jc w:val="right"/>
        <w:rPr>
          <w:b/>
          <w:i/>
          <w:sz w:val="28"/>
          <w:szCs w:val="28"/>
        </w:rPr>
      </w:pPr>
    </w:p>
    <w:p w14:paraId="1D549A50">
      <w:pPr>
        <w:jc w:val="right"/>
        <w:rPr>
          <w:b/>
          <w:i/>
          <w:sz w:val="28"/>
          <w:szCs w:val="28"/>
        </w:rPr>
      </w:pPr>
    </w:p>
    <w:p w14:paraId="04DBE5D2">
      <w:pPr>
        <w:jc w:val="right"/>
        <w:rPr>
          <w:b/>
          <w:i/>
          <w:sz w:val="28"/>
          <w:szCs w:val="28"/>
        </w:rPr>
      </w:pPr>
    </w:p>
    <w:p w14:paraId="0B3029D0">
      <w:pPr>
        <w:jc w:val="right"/>
        <w:rPr>
          <w:b/>
          <w:i/>
          <w:sz w:val="28"/>
          <w:szCs w:val="28"/>
        </w:rPr>
      </w:pPr>
    </w:p>
    <w:p w14:paraId="69A0EE25">
      <w:pPr>
        <w:jc w:val="right"/>
        <w:rPr>
          <w:b/>
          <w:i/>
          <w:sz w:val="28"/>
          <w:szCs w:val="28"/>
        </w:rPr>
      </w:pPr>
    </w:p>
    <w:p w14:paraId="7DDABF0E">
      <w:pPr>
        <w:jc w:val="right"/>
        <w:rPr>
          <w:b/>
          <w:i/>
          <w:sz w:val="28"/>
          <w:szCs w:val="28"/>
        </w:rPr>
      </w:pPr>
    </w:p>
    <w:p w14:paraId="7F464674">
      <w:pPr>
        <w:jc w:val="right"/>
        <w:rPr>
          <w:b/>
          <w:i/>
          <w:sz w:val="28"/>
          <w:szCs w:val="28"/>
        </w:rPr>
      </w:pPr>
    </w:p>
    <w:p w14:paraId="03259F4D">
      <w:pPr>
        <w:jc w:val="right"/>
        <w:rPr>
          <w:b/>
          <w:i/>
          <w:sz w:val="28"/>
          <w:szCs w:val="28"/>
        </w:rPr>
      </w:pPr>
    </w:p>
    <w:p w14:paraId="6BD8AE19">
      <w:pPr>
        <w:jc w:val="right"/>
        <w:rPr>
          <w:b/>
          <w:i/>
          <w:sz w:val="28"/>
          <w:szCs w:val="28"/>
        </w:rPr>
      </w:pPr>
    </w:p>
    <w:p w14:paraId="5F15FD34">
      <w:pPr>
        <w:jc w:val="right"/>
        <w:rPr>
          <w:b/>
          <w:i/>
          <w:sz w:val="28"/>
          <w:szCs w:val="28"/>
        </w:rPr>
      </w:pPr>
    </w:p>
    <w:p w14:paraId="2AC1FCF3">
      <w:pPr>
        <w:jc w:val="right"/>
        <w:rPr>
          <w:b/>
          <w:i/>
          <w:sz w:val="28"/>
          <w:szCs w:val="28"/>
        </w:rPr>
      </w:pPr>
    </w:p>
    <w:p w14:paraId="1775B713">
      <w:pPr>
        <w:jc w:val="right"/>
        <w:rPr>
          <w:b/>
          <w:i/>
          <w:sz w:val="28"/>
          <w:szCs w:val="28"/>
        </w:rPr>
      </w:pPr>
    </w:p>
    <w:p w14:paraId="1EF938E8">
      <w:pPr>
        <w:jc w:val="right"/>
        <w:rPr>
          <w:b/>
          <w:i/>
          <w:sz w:val="28"/>
          <w:szCs w:val="28"/>
        </w:rPr>
      </w:pPr>
    </w:p>
    <w:p w14:paraId="4DF7F93F">
      <w:pPr>
        <w:rPr>
          <w:b/>
          <w:i/>
          <w:sz w:val="28"/>
          <w:szCs w:val="28"/>
        </w:rPr>
      </w:pPr>
    </w:p>
    <w:sectPr>
      <w:footerReference r:id="rId3" w:type="default"/>
      <w:pgSz w:w="16838" w:h="11906" w:orient="landscape"/>
      <w:pgMar w:top="1135" w:right="851" w:bottom="568" w:left="1701" w:header="170" w:footer="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Zurich Ex B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rialMT">
    <w:altName w:val="Times New Roman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 New Roman Полужирный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Полужирный Курсив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56576"/>
    </w:sdtPr>
    <w:sdtContent>
      <w:p w14:paraId="7180E956">
        <w:pPr>
          <w:pStyle w:val="2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74</w:t>
        </w:r>
        <w:r>
          <w:fldChar w:fldCharType="end"/>
        </w:r>
      </w:p>
    </w:sdtContent>
  </w:sdt>
  <w:p w14:paraId="79848632">
    <w:pPr>
      <w:pStyle w:val="2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A3"/>
    <w:rsid w:val="0000075C"/>
    <w:rsid w:val="00000E41"/>
    <w:rsid w:val="00001C61"/>
    <w:rsid w:val="00003963"/>
    <w:rsid w:val="00004F8F"/>
    <w:rsid w:val="00005634"/>
    <w:rsid w:val="00006495"/>
    <w:rsid w:val="00007E4C"/>
    <w:rsid w:val="00010A80"/>
    <w:rsid w:val="00010E86"/>
    <w:rsid w:val="000123A2"/>
    <w:rsid w:val="00013832"/>
    <w:rsid w:val="00014633"/>
    <w:rsid w:val="00015436"/>
    <w:rsid w:val="00017B18"/>
    <w:rsid w:val="00021347"/>
    <w:rsid w:val="0002188F"/>
    <w:rsid w:val="00023BC8"/>
    <w:rsid w:val="00024D19"/>
    <w:rsid w:val="00025022"/>
    <w:rsid w:val="00025C2D"/>
    <w:rsid w:val="00027238"/>
    <w:rsid w:val="00032E31"/>
    <w:rsid w:val="0003388B"/>
    <w:rsid w:val="00033A17"/>
    <w:rsid w:val="00034054"/>
    <w:rsid w:val="00034318"/>
    <w:rsid w:val="00035469"/>
    <w:rsid w:val="000354EC"/>
    <w:rsid w:val="0003594B"/>
    <w:rsid w:val="000360AF"/>
    <w:rsid w:val="00036800"/>
    <w:rsid w:val="00036B57"/>
    <w:rsid w:val="000424D5"/>
    <w:rsid w:val="00044F98"/>
    <w:rsid w:val="000450BC"/>
    <w:rsid w:val="000465D2"/>
    <w:rsid w:val="00047509"/>
    <w:rsid w:val="00047C20"/>
    <w:rsid w:val="00050010"/>
    <w:rsid w:val="00050140"/>
    <w:rsid w:val="000517C6"/>
    <w:rsid w:val="00054556"/>
    <w:rsid w:val="0005576E"/>
    <w:rsid w:val="00056372"/>
    <w:rsid w:val="00056DE5"/>
    <w:rsid w:val="00061CBB"/>
    <w:rsid w:val="00061D2D"/>
    <w:rsid w:val="0006277A"/>
    <w:rsid w:val="000627C3"/>
    <w:rsid w:val="00062D3C"/>
    <w:rsid w:val="0006362D"/>
    <w:rsid w:val="000636F9"/>
    <w:rsid w:val="00063EEA"/>
    <w:rsid w:val="000648DD"/>
    <w:rsid w:val="00065EC0"/>
    <w:rsid w:val="00066291"/>
    <w:rsid w:val="000667FA"/>
    <w:rsid w:val="0006793A"/>
    <w:rsid w:val="00067DE5"/>
    <w:rsid w:val="00067ED3"/>
    <w:rsid w:val="000731C1"/>
    <w:rsid w:val="00074061"/>
    <w:rsid w:val="000747C8"/>
    <w:rsid w:val="00074BBB"/>
    <w:rsid w:val="0007745F"/>
    <w:rsid w:val="00077DD3"/>
    <w:rsid w:val="00080076"/>
    <w:rsid w:val="0008052D"/>
    <w:rsid w:val="000812C5"/>
    <w:rsid w:val="0008161F"/>
    <w:rsid w:val="00081889"/>
    <w:rsid w:val="00081D84"/>
    <w:rsid w:val="000860F5"/>
    <w:rsid w:val="00086970"/>
    <w:rsid w:val="00086BAF"/>
    <w:rsid w:val="0008762F"/>
    <w:rsid w:val="00091D2F"/>
    <w:rsid w:val="0009454C"/>
    <w:rsid w:val="0009475D"/>
    <w:rsid w:val="0009525F"/>
    <w:rsid w:val="00097224"/>
    <w:rsid w:val="0009786A"/>
    <w:rsid w:val="000A09D4"/>
    <w:rsid w:val="000A0E8A"/>
    <w:rsid w:val="000A0EF3"/>
    <w:rsid w:val="000A2506"/>
    <w:rsid w:val="000A2E22"/>
    <w:rsid w:val="000A4E9A"/>
    <w:rsid w:val="000A5A68"/>
    <w:rsid w:val="000A6EAC"/>
    <w:rsid w:val="000B1057"/>
    <w:rsid w:val="000B1220"/>
    <w:rsid w:val="000B2BBC"/>
    <w:rsid w:val="000B2DF5"/>
    <w:rsid w:val="000B3190"/>
    <w:rsid w:val="000B3AA3"/>
    <w:rsid w:val="000B451D"/>
    <w:rsid w:val="000B6926"/>
    <w:rsid w:val="000C2344"/>
    <w:rsid w:val="000C330F"/>
    <w:rsid w:val="000C4A02"/>
    <w:rsid w:val="000D0FAC"/>
    <w:rsid w:val="000D3B48"/>
    <w:rsid w:val="000D41DE"/>
    <w:rsid w:val="000D439A"/>
    <w:rsid w:val="000D48B8"/>
    <w:rsid w:val="000D560B"/>
    <w:rsid w:val="000D721B"/>
    <w:rsid w:val="000D7B69"/>
    <w:rsid w:val="000E037C"/>
    <w:rsid w:val="000E0C2D"/>
    <w:rsid w:val="000E0EC7"/>
    <w:rsid w:val="000E1B63"/>
    <w:rsid w:val="000E2365"/>
    <w:rsid w:val="000E3D33"/>
    <w:rsid w:val="000E3F25"/>
    <w:rsid w:val="000E5ACF"/>
    <w:rsid w:val="000E5E34"/>
    <w:rsid w:val="000E7C76"/>
    <w:rsid w:val="000F0427"/>
    <w:rsid w:val="000F0F86"/>
    <w:rsid w:val="000F14CC"/>
    <w:rsid w:val="000F183F"/>
    <w:rsid w:val="000F1A52"/>
    <w:rsid w:val="000F1E36"/>
    <w:rsid w:val="000F2158"/>
    <w:rsid w:val="000F3F60"/>
    <w:rsid w:val="000F4C73"/>
    <w:rsid w:val="000F581C"/>
    <w:rsid w:val="000F5871"/>
    <w:rsid w:val="000F65DF"/>
    <w:rsid w:val="000F703B"/>
    <w:rsid w:val="001010F1"/>
    <w:rsid w:val="00101F2C"/>
    <w:rsid w:val="00103BF7"/>
    <w:rsid w:val="00103DE5"/>
    <w:rsid w:val="0010480B"/>
    <w:rsid w:val="00105565"/>
    <w:rsid w:val="0011091B"/>
    <w:rsid w:val="001125FC"/>
    <w:rsid w:val="00112AB5"/>
    <w:rsid w:val="00113287"/>
    <w:rsid w:val="0011418A"/>
    <w:rsid w:val="001157CA"/>
    <w:rsid w:val="00115AFC"/>
    <w:rsid w:val="001162D5"/>
    <w:rsid w:val="001176E3"/>
    <w:rsid w:val="00117FDF"/>
    <w:rsid w:val="00122F59"/>
    <w:rsid w:val="0012440B"/>
    <w:rsid w:val="00124858"/>
    <w:rsid w:val="001250E2"/>
    <w:rsid w:val="00125B1D"/>
    <w:rsid w:val="001262AA"/>
    <w:rsid w:val="00126BEC"/>
    <w:rsid w:val="00126D08"/>
    <w:rsid w:val="0013036A"/>
    <w:rsid w:val="00133A54"/>
    <w:rsid w:val="00133EF0"/>
    <w:rsid w:val="00134222"/>
    <w:rsid w:val="00134252"/>
    <w:rsid w:val="001354A7"/>
    <w:rsid w:val="0013597D"/>
    <w:rsid w:val="00135FA2"/>
    <w:rsid w:val="0013748D"/>
    <w:rsid w:val="0014046B"/>
    <w:rsid w:val="00140558"/>
    <w:rsid w:val="00140C28"/>
    <w:rsid w:val="0014195D"/>
    <w:rsid w:val="00141E2A"/>
    <w:rsid w:val="00142D38"/>
    <w:rsid w:val="00142DC5"/>
    <w:rsid w:val="00142EA4"/>
    <w:rsid w:val="001436B6"/>
    <w:rsid w:val="00144004"/>
    <w:rsid w:val="00144759"/>
    <w:rsid w:val="001454E5"/>
    <w:rsid w:val="00146556"/>
    <w:rsid w:val="00146A72"/>
    <w:rsid w:val="00147FD1"/>
    <w:rsid w:val="001514F4"/>
    <w:rsid w:val="001524E1"/>
    <w:rsid w:val="00152B25"/>
    <w:rsid w:val="0015417C"/>
    <w:rsid w:val="0015484A"/>
    <w:rsid w:val="00156B2D"/>
    <w:rsid w:val="00160A56"/>
    <w:rsid w:val="001616EA"/>
    <w:rsid w:val="001626F0"/>
    <w:rsid w:val="00163E5C"/>
    <w:rsid w:val="0016411A"/>
    <w:rsid w:val="00164789"/>
    <w:rsid w:val="0016501D"/>
    <w:rsid w:val="00165219"/>
    <w:rsid w:val="001656C0"/>
    <w:rsid w:val="001659B2"/>
    <w:rsid w:val="00165A4A"/>
    <w:rsid w:val="00166A38"/>
    <w:rsid w:val="00170007"/>
    <w:rsid w:val="00170C37"/>
    <w:rsid w:val="00171583"/>
    <w:rsid w:val="001733AE"/>
    <w:rsid w:val="00174F8B"/>
    <w:rsid w:val="00176206"/>
    <w:rsid w:val="0017628E"/>
    <w:rsid w:val="0017678F"/>
    <w:rsid w:val="00176C5C"/>
    <w:rsid w:val="001814A2"/>
    <w:rsid w:val="0018440B"/>
    <w:rsid w:val="001846E9"/>
    <w:rsid w:val="0018593F"/>
    <w:rsid w:val="001878B0"/>
    <w:rsid w:val="00187F9A"/>
    <w:rsid w:val="00191AF5"/>
    <w:rsid w:val="0019297A"/>
    <w:rsid w:val="00192A35"/>
    <w:rsid w:val="00192E3C"/>
    <w:rsid w:val="0019360B"/>
    <w:rsid w:val="00194A0A"/>
    <w:rsid w:val="00194CD1"/>
    <w:rsid w:val="00195865"/>
    <w:rsid w:val="00196E2A"/>
    <w:rsid w:val="001A1244"/>
    <w:rsid w:val="001A1E1F"/>
    <w:rsid w:val="001A2A68"/>
    <w:rsid w:val="001A38D0"/>
    <w:rsid w:val="001A510F"/>
    <w:rsid w:val="001A5544"/>
    <w:rsid w:val="001A74F8"/>
    <w:rsid w:val="001B1D8F"/>
    <w:rsid w:val="001B207D"/>
    <w:rsid w:val="001B227F"/>
    <w:rsid w:val="001B31E3"/>
    <w:rsid w:val="001B3678"/>
    <w:rsid w:val="001B4FF1"/>
    <w:rsid w:val="001C0200"/>
    <w:rsid w:val="001C0EEB"/>
    <w:rsid w:val="001C1AD7"/>
    <w:rsid w:val="001C1F04"/>
    <w:rsid w:val="001C372E"/>
    <w:rsid w:val="001C3BA4"/>
    <w:rsid w:val="001C468C"/>
    <w:rsid w:val="001C7B27"/>
    <w:rsid w:val="001D00CC"/>
    <w:rsid w:val="001D06E7"/>
    <w:rsid w:val="001D08F8"/>
    <w:rsid w:val="001D2DB8"/>
    <w:rsid w:val="001D3C28"/>
    <w:rsid w:val="001D467B"/>
    <w:rsid w:val="001D4D69"/>
    <w:rsid w:val="001D5264"/>
    <w:rsid w:val="001D57F6"/>
    <w:rsid w:val="001D5D29"/>
    <w:rsid w:val="001D68E0"/>
    <w:rsid w:val="001E1628"/>
    <w:rsid w:val="001E1AEF"/>
    <w:rsid w:val="001E1D2D"/>
    <w:rsid w:val="001E346C"/>
    <w:rsid w:val="001E4A19"/>
    <w:rsid w:val="001E53E8"/>
    <w:rsid w:val="001E70B7"/>
    <w:rsid w:val="001E7CBE"/>
    <w:rsid w:val="001F0D28"/>
    <w:rsid w:val="001F0E5E"/>
    <w:rsid w:val="001F2BDC"/>
    <w:rsid w:val="001F2CE1"/>
    <w:rsid w:val="001F35BE"/>
    <w:rsid w:val="001F36D4"/>
    <w:rsid w:val="001F3D27"/>
    <w:rsid w:val="001F478D"/>
    <w:rsid w:val="001F537C"/>
    <w:rsid w:val="001F5809"/>
    <w:rsid w:val="001F63EE"/>
    <w:rsid w:val="001F6699"/>
    <w:rsid w:val="001F6B11"/>
    <w:rsid w:val="001F76EA"/>
    <w:rsid w:val="001F7E81"/>
    <w:rsid w:val="00201F5B"/>
    <w:rsid w:val="00202193"/>
    <w:rsid w:val="00203466"/>
    <w:rsid w:val="002035FB"/>
    <w:rsid w:val="00203655"/>
    <w:rsid w:val="00203D5C"/>
    <w:rsid w:val="00203E36"/>
    <w:rsid w:val="00205329"/>
    <w:rsid w:val="00207277"/>
    <w:rsid w:val="00207A88"/>
    <w:rsid w:val="00210229"/>
    <w:rsid w:val="002102B0"/>
    <w:rsid w:val="002108C7"/>
    <w:rsid w:val="00211E2D"/>
    <w:rsid w:val="002125C6"/>
    <w:rsid w:val="00213147"/>
    <w:rsid w:val="0021613F"/>
    <w:rsid w:val="00216878"/>
    <w:rsid w:val="00216D96"/>
    <w:rsid w:val="00217914"/>
    <w:rsid w:val="002210C9"/>
    <w:rsid w:val="00223E5D"/>
    <w:rsid w:val="00230CB1"/>
    <w:rsid w:val="00232D38"/>
    <w:rsid w:val="002330FF"/>
    <w:rsid w:val="0023556B"/>
    <w:rsid w:val="0023596C"/>
    <w:rsid w:val="00237C9B"/>
    <w:rsid w:val="00240C6A"/>
    <w:rsid w:val="002417A4"/>
    <w:rsid w:val="00241D18"/>
    <w:rsid w:val="00241E9F"/>
    <w:rsid w:val="00242A3E"/>
    <w:rsid w:val="002439E1"/>
    <w:rsid w:val="002448CD"/>
    <w:rsid w:val="002453FB"/>
    <w:rsid w:val="00245A4A"/>
    <w:rsid w:val="00246245"/>
    <w:rsid w:val="002462CD"/>
    <w:rsid w:val="002474F5"/>
    <w:rsid w:val="00250978"/>
    <w:rsid w:val="002522E8"/>
    <w:rsid w:val="002552D6"/>
    <w:rsid w:val="00256A01"/>
    <w:rsid w:val="0026026F"/>
    <w:rsid w:val="00261D16"/>
    <w:rsid w:val="00262E9D"/>
    <w:rsid w:val="00263DC4"/>
    <w:rsid w:val="002648B1"/>
    <w:rsid w:val="00264C0D"/>
    <w:rsid w:val="00265C12"/>
    <w:rsid w:val="00265C8A"/>
    <w:rsid w:val="002666FF"/>
    <w:rsid w:val="00267921"/>
    <w:rsid w:val="002717A8"/>
    <w:rsid w:val="00272D54"/>
    <w:rsid w:val="00273A5D"/>
    <w:rsid w:val="002743A2"/>
    <w:rsid w:val="0027454A"/>
    <w:rsid w:val="002748C0"/>
    <w:rsid w:val="00275241"/>
    <w:rsid w:val="00275D0F"/>
    <w:rsid w:val="00276872"/>
    <w:rsid w:val="00276D04"/>
    <w:rsid w:val="002774A6"/>
    <w:rsid w:val="00277C28"/>
    <w:rsid w:val="0028017F"/>
    <w:rsid w:val="00280A47"/>
    <w:rsid w:val="00281A33"/>
    <w:rsid w:val="0028349A"/>
    <w:rsid w:val="0028435E"/>
    <w:rsid w:val="00284970"/>
    <w:rsid w:val="002857B9"/>
    <w:rsid w:val="00285A8A"/>
    <w:rsid w:val="0028780E"/>
    <w:rsid w:val="00287DC4"/>
    <w:rsid w:val="00291AD5"/>
    <w:rsid w:val="002921A5"/>
    <w:rsid w:val="002938D9"/>
    <w:rsid w:val="00293996"/>
    <w:rsid w:val="0029585A"/>
    <w:rsid w:val="00295B9B"/>
    <w:rsid w:val="0029605E"/>
    <w:rsid w:val="0029773A"/>
    <w:rsid w:val="002A061A"/>
    <w:rsid w:val="002A0BE1"/>
    <w:rsid w:val="002A1CC6"/>
    <w:rsid w:val="002A3A79"/>
    <w:rsid w:val="002A445A"/>
    <w:rsid w:val="002A44AE"/>
    <w:rsid w:val="002A6016"/>
    <w:rsid w:val="002A681A"/>
    <w:rsid w:val="002A7148"/>
    <w:rsid w:val="002B1342"/>
    <w:rsid w:val="002B164D"/>
    <w:rsid w:val="002B179B"/>
    <w:rsid w:val="002B4A17"/>
    <w:rsid w:val="002B529B"/>
    <w:rsid w:val="002B6945"/>
    <w:rsid w:val="002B7A15"/>
    <w:rsid w:val="002B7AA8"/>
    <w:rsid w:val="002B7C1A"/>
    <w:rsid w:val="002B7F13"/>
    <w:rsid w:val="002C1FBA"/>
    <w:rsid w:val="002C3A03"/>
    <w:rsid w:val="002C3C60"/>
    <w:rsid w:val="002C4B09"/>
    <w:rsid w:val="002C4CFC"/>
    <w:rsid w:val="002C57FD"/>
    <w:rsid w:val="002C7D30"/>
    <w:rsid w:val="002D020F"/>
    <w:rsid w:val="002D1880"/>
    <w:rsid w:val="002D1E8E"/>
    <w:rsid w:val="002D1EFC"/>
    <w:rsid w:val="002D2540"/>
    <w:rsid w:val="002D3466"/>
    <w:rsid w:val="002D3688"/>
    <w:rsid w:val="002D3CBB"/>
    <w:rsid w:val="002D3E7C"/>
    <w:rsid w:val="002D5F5C"/>
    <w:rsid w:val="002D7E2A"/>
    <w:rsid w:val="002E0AAB"/>
    <w:rsid w:val="002E0D5F"/>
    <w:rsid w:val="002E0F16"/>
    <w:rsid w:val="002E3159"/>
    <w:rsid w:val="002E60FD"/>
    <w:rsid w:val="002E613A"/>
    <w:rsid w:val="002E698A"/>
    <w:rsid w:val="002E6A34"/>
    <w:rsid w:val="002F00C0"/>
    <w:rsid w:val="002F2015"/>
    <w:rsid w:val="002F21BA"/>
    <w:rsid w:val="002F28E2"/>
    <w:rsid w:val="002F2A7D"/>
    <w:rsid w:val="002F351B"/>
    <w:rsid w:val="002F3EBE"/>
    <w:rsid w:val="002F4D24"/>
    <w:rsid w:val="002F5DBF"/>
    <w:rsid w:val="00300092"/>
    <w:rsid w:val="00300345"/>
    <w:rsid w:val="0030188D"/>
    <w:rsid w:val="00302A9D"/>
    <w:rsid w:val="00303571"/>
    <w:rsid w:val="003040F1"/>
    <w:rsid w:val="00304A84"/>
    <w:rsid w:val="00304F9D"/>
    <w:rsid w:val="00304FC3"/>
    <w:rsid w:val="00307B61"/>
    <w:rsid w:val="003102B6"/>
    <w:rsid w:val="00310771"/>
    <w:rsid w:val="00311193"/>
    <w:rsid w:val="0031155F"/>
    <w:rsid w:val="00311829"/>
    <w:rsid w:val="00311D21"/>
    <w:rsid w:val="00314B29"/>
    <w:rsid w:val="00315650"/>
    <w:rsid w:val="00315B75"/>
    <w:rsid w:val="00316EA4"/>
    <w:rsid w:val="0031761C"/>
    <w:rsid w:val="003178D5"/>
    <w:rsid w:val="003178D7"/>
    <w:rsid w:val="00320C2F"/>
    <w:rsid w:val="003238A3"/>
    <w:rsid w:val="00323A68"/>
    <w:rsid w:val="00323AC9"/>
    <w:rsid w:val="00323C4E"/>
    <w:rsid w:val="00325959"/>
    <w:rsid w:val="00327F99"/>
    <w:rsid w:val="003332E0"/>
    <w:rsid w:val="00334631"/>
    <w:rsid w:val="00335330"/>
    <w:rsid w:val="00336601"/>
    <w:rsid w:val="00336D77"/>
    <w:rsid w:val="00340696"/>
    <w:rsid w:val="00340E2D"/>
    <w:rsid w:val="00342DFA"/>
    <w:rsid w:val="003434AA"/>
    <w:rsid w:val="00344C8C"/>
    <w:rsid w:val="00346AF3"/>
    <w:rsid w:val="00350488"/>
    <w:rsid w:val="00352018"/>
    <w:rsid w:val="00352B46"/>
    <w:rsid w:val="00352DEC"/>
    <w:rsid w:val="00352F3A"/>
    <w:rsid w:val="00354210"/>
    <w:rsid w:val="00355AE5"/>
    <w:rsid w:val="00355D8E"/>
    <w:rsid w:val="00357674"/>
    <w:rsid w:val="00357BEA"/>
    <w:rsid w:val="003621F1"/>
    <w:rsid w:val="00362A35"/>
    <w:rsid w:val="00362BC7"/>
    <w:rsid w:val="00366177"/>
    <w:rsid w:val="003671C8"/>
    <w:rsid w:val="00367436"/>
    <w:rsid w:val="0036774C"/>
    <w:rsid w:val="00370783"/>
    <w:rsid w:val="00371D84"/>
    <w:rsid w:val="003721AA"/>
    <w:rsid w:val="00372569"/>
    <w:rsid w:val="003745BE"/>
    <w:rsid w:val="003765AC"/>
    <w:rsid w:val="00376D5D"/>
    <w:rsid w:val="003771D2"/>
    <w:rsid w:val="00377D1C"/>
    <w:rsid w:val="00377D8B"/>
    <w:rsid w:val="00380361"/>
    <w:rsid w:val="00380EC5"/>
    <w:rsid w:val="003813AA"/>
    <w:rsid w:val="00381D2B"/>
    <w:rsid w:val="00382EDC"/>
    <w:rsid w:val="00383734"/>
    <w:rsid w:val="003849B8"/>
    <w:rsid w:val="0038548C"/>
    <w:rsid w:val="00385FCA"/>
    <w:rsid w:val="00386FBE"/>
    <w:rsid w:val="003874CC"/>
    <w:rsid w:val="00387F6A"/>
    <w:rsid w:val="003907B3"/>
    <w:rsid w:val="0039194B"/>
    <w:rsid w:val="00394886"/>
    <w:rsid w:val="00395942"/>
    <w:rsid w:val="00396DCE"/>
    <w:rsid w:val="00396E52"/>
    <w:rsid w:val="0039727E"/>
    <w:rsid w:val="00397842"/>
    <w:rsid w:val="003A056B"/>
    <w:rsid w:val="003A07A0"/>
    <w:rsid w:val="003A084B"/>
    <w:rsid w:val="003A0932"/>
    <w:rsid w:val="003A2BEB"/>
    <w:rsid w:val="003A390C"/>
    <w:rsid w:val="003A3E95"/>
    <w:rsid w:val="003A3F53"/>
    <w:rsid w:val="003A4FAC"/>
    <w:rsid w:val="003A6D19"/>
    <w:rsid w:val="003A73C2"/>
    <w:rsid w:val="003A791E"/>
    <w:rsid w:val="003A7A9A"/>
    <w:rsid w:val="003B0EF4"/>
    <w:rsid w:val="003B138F"/>
    <w:rsid w:val="003B17AF"/>
    <w:rsid w:val="003B2E63"/>
    <w:rsid w:val="003B380C"/>
    <w:rsid w:val="003B3F73"/>
    <w:rsid w:val="003B47CC"/>
    <w:rsid w:val="003B793C"/>
    <w:rsid w:val="003B79CA"/>
    <w:rsid w:val="003B79CE"/>
    <w:rsid w:val="003C1415"/>
    <w:rsid w:val="003C1E9B"/>
    <w:rsid w:val="003C3248"/>
    <w:rsid w:val="003C332E"/>
    <w:rsid w:val="003C4852"/>
    <w:rsid w:val="003C4C9F"/>
    <w:rsid w:val="003C667C"/>
    <w:rsid w:val="003C7410"/>
    <w:rsid w:val="003C7ED5"/>
    <w:rsid w:val="003D065B"/>
    <w:rsid w:val="003D45F3"/>
    <w:rsid w:val="003D484F"/>
    <w:rsid w:val="003D4C1F"/>
    <w:rsid w:val="003D54BA"/>
    <w:rsid w:val="003D57BD"/>
    <w:rsid w:val="003E007E"/>
    <w:rsid w:val="003E12B1"/>
    <w:rsid w:val="003E4B50"/>
    <w:rsid w:val="003F09F1"/>
    <w:rsid w:val="003F0AC1"/>
    <w:rsid w:val="003F14A7"/>
    <w:rsid w:val="003F1533"/>
    <w:rsid w:val="003F32E7"/>
    <w:rsid w:val="003F4CFC"/>
    <w:rsid w:val="003F4EC4"/>
    <w:rsid w:val="003F4FCA"/>
    <w:rsid w:val="003F6A4D"/>
    <w:rsid w:val="003F709F"/>
    <w:rsid w:val="003F7E02"/>
    <w:rsid w:val="003F7F33"/>
    <w:rsid w:val="00401010"/>
    <w:rsid w:val="00401092"/>
    <w:rsid w:val="00401B3C"/>
    <w:rsid w:val="00402115"/>
    <w:rsid w:val="00404160"/>
    <w:rsid w:val="00405272"/>
    <w:rsid w:val="00405BDB"/>
    <w:rsid w:val="00407AD1"/>
    <w:rsid w:val="00410087"/>
    <w:rsid w:val="0041114B"/>
    <w:rsid w:val="00412333"/>
    <w:rsid w:val="00412DB7"/>
    <w:rsid w:val="00414579"/>
    <w:rsid w:val="00414FBB"/>
    <w:rsid w:val="00415050"/>
    <w:rsid w:val="00416FEA"/>
    <w:rsid w:val="00417DCD"/>
    <w:rsid w:val="00420297"/>
    <w:rsid w:val="00420CA4"/>
    <w:rsid w:val="004231AD"/>
    <w:rsid w:val="00423D3C"/>
    <w:rsid w:val="00424E15"/>
    <w:rsid w:val="00425288"/>
    <w:rsid w:val="00426404"/>
    <w:rsid w:val="004311E6"/>
    <w:rsid w:val="0043261D"/>
    <w:rsid w:val="00434F5B"/>
    <w:rsid w:val="00435403"/>
    <w:rsid w:val="004360C8"/>
    <w:rsid w:val="0043754C"/>
    <w:rsid w:val="00440181"/>
    <w:rsid w:val="00440B02"/>
    <w:rsid w:val="004421A5"/>
    <w:rsid w:val="004431DA"/>
    <w:rsid w:val="004435C5"/>
    <w:rsid w:val="00444DFA"/>
    <w:rsid w:val="00445496"/>
    <w:rsid w:val="0044711C"/>
    <w:rsid w:val="004479D7"/>
    <w:rsid w:val="00451023"/>
    <w:rsid w:val="0045154F"/>
    <w:rsid w:val="004515E3"/>
    <w:rsid w:val="00452328"/>
    <w:rsid w:val="004529D6"/>
    <w:rsid w:val="004552F9"/>
    <w:rsid w:val="004559D6"/>
    <w:rsid w:val="00455AB2"/>
    <w:rsid w:val="004560D1"/>
    <w:rsid w:val="004562F8"/>
    <w:rsid w:val="00457220"/>
    <w:rsid w:val="004624B9"/>
    <w:rsid w:val="00462E32"/>
    <w:rsid w:val="004648D1"/>
    <w:rsid w:val="00464DE7"/>
    <w:rsid w:val="00464F2E"/>
    <w:rsid w:val="00465C17"/>
    <w:rsid w:val="004672E9"/>
    <w:rsid w:val="004701A5"/>
    <w:rsid w:val="00471C49"/>
    <w:rsid w:val="00472663"/>
    <w:rsid w:val="004749AB"/>
    <w:rsid w:val="00474EE7"/>
    <w:rsid w:val="00475689"/>
    <w:rsid w:val="00475EFB"/>
    <w:rsid w:val="00475FF6"/>
    <w:rsid w:val="0047621A"/>
    <w:rsid w:val="004766EA"/>
    <w:rsid w:val="00476C6D"/>
    <w:rsid w:val="00480ACF"/>
    <w:rsid w:val="00481F9A"/>
    <w:rsid w:val="00482F72"/>
    <w:rsid w:val="00483AB0"/>
    <w:rsid w:val="0048421C"/>
    <w:rsid w:val="00484FA8"/>
    <w:rsid w:val="00486CC1"/>
    <w:rsid w:val="00486D53"/>
    <w:rsid w:val="00487EB2"/>
    <w:rsid w:val="00490A5B"/>
    <w:rsid w:val="004913E8"/>
    <w:rsid w:val="0049197B"/>
    <w:rsid w:val="0049275E"/>
    <w:rsid w:val="004932FB"/>
    <w:rsid w:val="00493FD6"/>
    <w:rsid w:val="00494485"/>
    <w:rsid w:val="004968D5"/>
    <w:rsid w:val="004974CE"/>
    <w:rsid w:val="004A1351"/>
    <w:rsid w:val="004A2817"/>
    <w:rsid w:val="004A2D22"/>
    <w:rsid w:val="004A4494"/>
    <w:rsid w:val="004A5DE8"/>
    <w:rsid w:val="004A6198"/>
    <w:rsid w:val="004A6A87"/>
    <w:rsid w:val="004B08F4"/>
    <w:rsid w:val="004B16B4"/>
    <w:rsid w:val="004B2156"/>
    <w:rsid w:val="004B3A80"/>
    <w:rsid w:val="004B442B"/>
    <w:rsid w:val="004B4AA3"/>
    <w:rsid w:val="004B4EC0"/>
    <w:rsid w:val="004B54AC"/>
    <w:rsid w:val="004B7E85"/>
    <w:rsid w:val="004C00D4"/>
    <w:rsid w:val="004C1679"/>
    <w:rsid w:val="004C4751"/>
    <w:rsid w:val="004C633F"/>
    <w:rsid w:val="004C645B"/>
    <w:rsid w:val="004C7B0F"/>
    <w:rsid w:val="004D0EB5"/>
    <w:rsid w:val="004D1DED"/>
    <w:rsid w:val="004D2E8F"/>
    <w:rsid w:val="004D32A8"/>
    <w:rsid w:val="004D53B1"/>
    <w:rsid w:val="004D59BD"/>
    <w:rsid w:val="004D6F78"/>
    <w:rsid w:val="004E42E6"/>
    <w:rsid w:val="004E4495"/>
    <w:rsid w:val="004E5664"/>
    <w:rsid w:val="004E5782"/>
    <w:rsid w:val="004E6246"/>
    <w:rsid w:val="004E6D78"/>
    <w:rsid w:val="004E76B0"/>
    <w:rsid w:val="004F0550"/>
    <w:rsid w:val="004F07F5"/>
    <w:rsid w:val="004F0BE5"/>
    <w:rsid w:val="004F12A7"/>
    <w:rsid w:val="004F12D2"/>
    <w:rsid w:val="004F1EB6"/>
    <w:rsid w:val="004F1F08"/>
    <w:rsid w:val="004F5E73"/>
    <w:rsid w:val="004F682E"/>
    <w:rsid w:val="004F7878"/>
    <w:rsid w:val="004F7EFF"/>
    <w:rsid w:val="005003ED"/>
    <w:rsid w:val="005006E4"/>
    <w:rsid w:val="00501B90"/>
    <w:rsid w:val="005025F5"/>
    <w:rsid w:val="00502AFE"/>
    <w:rsid w:val="00503671"/>
    <w:rsid w:val="0050488C"/>
    <w:rsid w:val="00504B92"/>
    <w:rsid w:val="005068B3"/>
    <w:rsid w:val="005073B8"/>
    <w:rsid w:val="005075C0"/>
    <w:rsid w:val="00510B24"/>
    <w:rsid w:val="0051163E"/>
    <w:rsid w:val="00511B3B"/>
    <w:rsid w:val="00511DB5"/>
    <w:rsid w:val="00512C14"/>
    <w:rsid w:val="0051371D"/>
    <w:rsid w:val="00516511"/>
    <w:rsid w:val="00520F68"/>
    <w:rsid w:val="0052151F"/>
    <w:rsid w:val="00521676"/>
    <w:rsid w:val="00522442"/>
    <w:rsid w:val="00522B19"/>
    <w:rsid w:val="00522D71"/>
    <w:rsid w:val="00522E2A"/>
    <w:rsid w:val="0052400B"/>
    <w:rsid w:val="00524238"/>
    <w:rsid w:val="00525C93"/>
    <w:rsid w:val="00525E9E"/>
    <w:rsid w:val="005261DD"/>
    <w:rsid w:val="005301DE"/>
    <w:rsid w:val="0053031F"/>
    <w:rsid w:val="00531455"/>
    <w:rsid w:val="0053208A"/>
    <w:rsid w:val="0053244D"/>
    <w:rsid w:val="005324E7"/>
    <w:rsid w:val="00532FF7"/>
    <w:rsid w:val="00534231"/>
    <w:rsid w:val="00534859"/>
    <w:rsid w:val="0053559B"/>
    <w:rsid w:val="005362F9"/>
    <w:rsid w:val="00536362"/>
    <w:rsid w:val="00536E5F"/>
    <w:rsid w:val="00540980"/>
    <w:rsid w:val="00542D7A"/>
    <w:rsid w:val="00544804"/>
    <w:rsid w:val="00544D5D"/>
    <w:rsid w:val="0054523C"/>
    <w:rsid w:val="00545BC3"/>
    <w:rsid w:val="00545C69"/>
    <w:rsid w:val="005465E5"/>
    <w:rsid w:val="005470B0"/>
    <w:rsid w:val="00547CF3"/>
    <w:rsid w:val="00550184"/>
    <w:rsid w:val="00550935"/>
    <w:rsid w:val="005520AF"/>
    <w:rsid w:val="00552460"/>
    <w:rsid w:val="00553C0C"/>
    <w:rsid w:val="00553D3A"/>
    <w:rsid w:val="0055400B"/>
    <w:rsid w:val="00555603"/>
    <w:rsid w:val="005579F6"/>
    <w:rsid w:val="00560B20"/>
    <w:rsid w:val="00561D4B"/>
    <w:rsid w:val="005621B3"/>
    <w:rsid w:val="005621D4"/>
    <w:rsid w:val="0056283E"/>
    <w:rsid w:val="00564B9A"/>
    <w:rsid w:val="005658B2"/>
    <w:rsid w:val="005671FE"/>
    <w:rsid w:val="00567913"/>
    <w:rsid w:val="00570009"/>
    <w:rsid w:val="005702DA"/>
    <w:rsid w:val="005706D3"/>
    <w:rsid w:val="005710DA"/>
    <w:rsid w:val="00572455"/>
    <w:rsid w:val="005726D8"/>
    <w:rsid w:val="00572983"/>
    <w:rsid w:val="00572EA7"/>
    <w:rsid w:val="005747BE"/>
    <w:rsid w:val="00574902"/>
    <w:rsid w:val="00575A08"/>
    <w:rsid w:val="005805F5"/>
    <w:rsid w:val="0058067A"/>
    <w:rsid w:val="00581CFA"/>
    <w:rsid w:val="005820F1"/>
    <w:rsid w:val="0058330B"/>
    <w:rsid w:val="00584674"/>
    <w:rsid w:val="00584BE2"/>
    <w:rsid w:val="0058503F"/>
    <w:rsid w:val="00585414"/>
    <w:rsid w:val="00586D77"/>
    <w:rsid w:val="00587226"/>
    <w:rsid w:val="00587774"/>
    <w:rsid w:val="005902A9"/>
    <w:rsid w:val="0059277F"/>
    <w:rsid w:val="0059336D"/>
    <w:rsid w:val="00593DA9"/>
    <w:rsid w:val="005971CC"/>
    <w:rsid w:val="00597652"/>
    <w:rsid w:val="005A0E18"/>
    <w:rsid w:val="005A1476"/>
    <w:rsid w:val="005A1736"/>
    <w:rsid w:val="005A2F69"/>
    <w:rsid w:val="005A2FD0"/>
    <w:rsid w:val="005A3045"/>
    <w:rsid w:val="005A4B05"/>
    <w:rsid w:val="005A5072"/>
    <w:rsid w:val="005B0C16"/>
    <w:rsid w:val="005B1E6E"/>
    <w:rsid w:val="005B26F2"/>
    <w:rsid w:val="005B6969"/>
    <w:rsid w:val="005B6EC0"/>
    <w:rsid w:val="005B7047"/>
    <w:rsid w:val="005C36C0"/>
    <w:rsid w:val="005C3C39"/>
    <w:rsid w:val="005C3D2D"/>
    <w:rsid w:val="005C3EF8"/>
    <w:rsid w:val="005C448B"/>
    <w:rsid w:val="005C473A"/>
    <w:rsid w:val="005C5523"/>
    <w:rsid w:val="005C5CB5"/>
    <w:rsid w:val="005C5D7C"/>
    <w:rsid w:val="005C7732"/>
    <w:rsid w:val="005D1311"/>
    <w:rsid w:val="005D328B"/>
    <w:rsid w:val="005D3AE6"/>
    <w:rsid w:val="005E036E"/>
    <w:rsid w:val="005E04F2"/>
    <w:rsid w:val="005E07C0"/>
    <w:rsid w:val="005E081E"/>
    <w:rsid w:val="005E0A50"/>
    <w:rsid w:val="005E26F0"/>
    <w:rsid w:val="005E3CE1"/>
    <w:rsid w:val="005E4520"/>
    <w:rsid w:val="005E5675"/>
    <w:rsid w:val="005E63EB"/>
    <w:rsid w:val="005E66B8"/>
    <w:rsid w:val="005E682E"/>
    <w:rsid w:val="005F005C"/>
    <w:rsid w:val="005F085F"/>
    <w:rsid w:val="005F1504"/>
    <w:rsid w:val="005F169F"/>
    <w:rsid w:val="005F1A22"/>
    <w:rsid w:val="005F257F"/>
    <w:rsid w:val="005F2D64"/>
    <w:rsid w:val="005F33AB"/>
    <w:rsid w:val="005F46D3"/>
    <w:rsid w:val="005F47A1"/>
    <w:rsid w:val="005F56F8"/>
    <w:rsid w:val="005F58B1"/>
    <w:rsid w:val="005F598A"/>
    <w:rsid w:val="005F63F4"/>
    <w:rsid w:val="005F643F"/>
    <w:rsid w:val="005F6B03"/>
    <w:rsid w:val="005F71A5"/>
    <w:rsid w:val="006002D1"/>
    <w:rsid w:val="00600564"/>
    <w:rsid w:val="006015D5"/>
    <w:rsid w:val="00601F19"/>
    <w:rsid w:val="0060265F"/>
    <w:rsid w:val="006032F6"/>
    <w:rsid w:val="00604C29"/>
    <w:rsid w:val="00604C7F"/>
    <w:rsid w:val="0060528F"/>
    <w:rsid w:val="00605612"/>
    <w:rsid w:val="006067BF"/>
    <w:rsid w:val="00607799"/>
    <w:rsid w:val="00607AEC"/>
    <w:rsid w:val="00610DAD"/>
    <w:rsid w:val="00611A89"/>
    <w:rsid w:val="006122C4"/>
    <w:rsid w:val="00612C7A"/>
    <w:rsid w:val="00612F82"/>
    <w:rsid w:val="00612FD4"/>
    <w:rsid w:val="006135AD"/>
    <w:rsid w:val="006169BA"/>
    <w:rsid w:val="00616AD5"/>
    <w:rsid w:val="00617355"/>
    <w:rsid w:val="0061777F"/>
    <w:rsid w:val="00621E84"/>
    <w:rsid w:val="00623A53"/>
    <w:rsid w:val="00623E58"/>
    <w:rsid w:val="00624815"/>
    <w:rsid w:val="006259EE"/>
    <w:rsid w:val="006302E3"/>
    <w:rsid w:val="006307B1"/>
    <w:rsid w:val="00630CC9"/>
    <w:rsid w:val="006318B7"/>
    <w:rsid w:val="0063216A"/>
    <w:rsid w:val="00632F00"/>
    <w:rsid w:val="00633CB5"/>
    <w:rsid w:val="00634C82"/>
    <w:rsid w:val="006377D4"/>
    <w:rsid w:val="00640592"/>
    <w:rsid w:val="006408BE"/>
    <w:rsid w:val="00640D71"/>
    <w:rsid w:val="0064152E"/>
    <w:rsid w:val="00641B1C"/>
    <w:rsid w:val="00642B79"/>
    <w:rsid w:val="0064384E"/>
    <w:rsid w:val="00643924"/>
    <w:rsid w:val="00643AA9"/>
    <w:rsid w:val="00645588"/>
    <w:rsid w:val="00646343"/>
    <w:rsid w:val="006466CC"/>
    <w:rsid w:val="006519E6"/>
    <w:rsid w:val="00654AAE"/>
    <w:rsid w:val="00655840"/>
    <w:rsid w:val="00656625"/>
    <w:rsid w:val="0066062D"/>
    <w:rsid w:val="00660A89"/>
    <w:rsid w:val="00660BB9"/>
    <w:rsid w:val="006613E5"/>
    <w:rsid w:val="006630FE"/>
    <w:rsid w:val="00663ABF"/>
    <w:rsid w:val="00663F0F"/>
    <w:rsid w:val="0066425A"/>
    <w:rsid w:val="006645D2"/>
    <w:rsid w:val="00665F1A"/>
    <w:rsid w:val="006664D4"/>
    <w:rsid w:val="006670E0"/>
    <w:rsid w:val="006671B8"/>
    <w:rsid w:val="0066783C"/>
    <w:rsid w:val="0067096C"/>
    <w:rsid w:val="006731C9"/>
    <w:rsid w:val="00673FEE"/>
    <w:rsid w:val="0067423E"/>
    <w:rsid w:val="00674FB1"/>
    <w:rsid w:val="00675053"/>
    <w:rsid w:val="0067679D"/>
    <w:rsid w:val="0068076C"/>
    <w:rsid w:val="00681983"/>
    <w:rsid w:val="00681AE7"/>
    <w:rsid w:val="006821AB"/>
    <w:rsid w:val="0068322B"/>
    <w:rsid w:val="006858FA"/>
    <w:rsid w:val="00685D74"/>
    <w:rsid w:val="0068695C"/>
    <w:rsid w:val="00686BFB"/>
    <w:rsid w:val="00687887"/>
    <w:rsid w:val="006878EC"/>
    <w:rsid w:val="0069297C"/>
    <w:rsid w:val="00692BB7"/>
    <w:rsid w:val="00693015"/>
    <w:rsid w:val="00694311"/>
    <w:rsid w:val="0069447E"/>
    <w:rsid w:val="0069510C"/>
    <w:rsid w:val="00695B3E"/>
    <w:rsid w:val="00697251"/>
    <w:rsid w:val="006975F3"/>
    <w:rsid w:val="006A1885"/>
    <w:rsid w:val="006A2241"/>
    <w:rsid w:val="006A24C0"/>
    <w:rsid w:val="006A2AF5"/>
    <w:rsid w:val="006A3AA6"/>
    <w:rsid w:val="006A407B"/>
    <w:rsid w:val="006A60B9"/>
    <w:rsid w:val="006A69EB"/>
    <w:rsid w:val="006A6A60"/>
    <w:rsid w:val="006B1D7C"/>
    <w:rsid w:val="006B213D"/>
    <w:rsid w:val="006B28AF"/>
    <w:rsid w:val="006B606C"/>
    <w:rsid w:val="006B77C5"/>
    <w:rsid w:val="006C0B28"/>
    <w:rsid w:val="006C153C"/>
    <w:rsid w:val="006C1BB0"/>
    <w:rsid w:val="006C2381"/>
    <w:rsid w:val="006C2C04"/>
    <w:rsid w:val="006C3157"/>
    <w:rsid w:val="006C4A58"/>
    <w:rsid w:val="006C6303"/>
    <w:rsid w:val="006C6643"/>
    <w:rsid w:val="006D1385"/>
    <w:rsid w:val="006D2094"/>
    <w:rsid w:val="006D3C32"/>
    <w:rsid w:val="006D3FEF"/>
    <w:rsid w:val="006D4B67"/>
    <w:rsid w:val="006D5545"/>
    <w:rsid w:val="006D6F6A"/>
    <w:rsid w:val="006D77A0"/>
    <w:rsid w:val="006D7E6B"/>
    <w:rsid w:val="006E0EE0"/>
    <w:rsid w:val="006E13F2"/>
    <w:rsid w:val="006E177B"/>
    <w:rsid w:val="006E219F"/>
    <w:rsid w:val="006E2903"/>
    <w:rsid w:val="006E5137"/>
    <w:rsid w:val="006E5C63"/>
    <w:rsid w:val="006E5CEE"/>
    <w:rsid w:val="006E620C"/>
    <w:rsid w:val="006E717E"/>
    <w:rsid w:val="006E7D7D"/>
    <w:rsid w:val="006F1E38"/>
    <w:rsid w:val="006F1E8E"/>
    <w:rsid w:val="006F27FD"/>
    <w:rsid w:val="006F3E1B"/>
    <w:rsid w:val="006F46FB"/>
    <w:rsid w:val="006F4EF1"/>
    <w:rsid w:val="006F5F55"/>
    <w:rsid w:val="006F7E49"/>
    <w:rsid w:val="0070037C"/>
    <w:rsid w:val="00701078"/>
    <w:rsid w:val="0070111E"/>
    <w:rsid w:val="007029EC"/>
    <w:rsid w:val="00702C9B"/>
    <w:rsid w:val="00702E36"/>
    <w:rsid w:val="00703C8A"/>
    <w:rsid w:val="007045E7"/>
    <w:rsid w:val="00704E3A"/>
    <w:rsid w:val="00705D8D"/>
    <w:rsid w:val="00706B51"/>
    <w:rsid w:val="0070749D"/>
    <w:rsid w:val="00710E7F"/>
    <w:rsid w:val="00712263"/>
    <w:rsid w:val="007128B9"/>
    <w:rsid w:val="00712C3C"/>
    <w:rsid w:val="007135B7"/>
    <w:rsid w:val="007135BE"/>
    <w:rsid w:val="00715583"/>
    <w:rsid w:val="00716ABE"/>
    <w:rsid w:val="007171A2"/>
    <w:rsid w:val="007173DC"/>
    <w:rsid w:val="00720015"/>
    <w:rsid w:val="00720BF4"/>
    <w:rsid w:val="00720D8E"/>
    <w:rsid w:val="007221EA"/>
    <w:rsid w:val="007226C6"/>
    <w:rsid w:val="00723113"/>
    <w:rsid w:val="00723C6A"/>
    <w:rsid w:val="00724062"/>
    <w:rsid w:val="0072519E"/>
    <w:rsid w:val="00725DCC"/>
    <w:rsid w:val="00726459"/>
    <w:rsid w:val="007271E8"/>
    <w:rsid w:val="00727308"/>
    <w:rsid w:val="00732493"/>
    <w:rsid w:val="007326C4"/>
    <w:rsid w:val="0073329B"/>
    <w:rsid w:val="0073455E"/>
    <w:rsid w:val="0073488C"/>
    <w:rsid w:val="0073530C"/>
    <w:rsid w:val="00735516"/>
    <w:rsid w:val="007358C0"/>
    <w:rsid w:val="00736540"/>
    <w:rsid w:val="00737DAD"/>
    <w:rsid w:val="00737E74"/>
    <w:rsid w:val="007408D6"/>
    <w:rsid w:val="00743AB2"/>
    <w:rsid w:val="00744638"/>
    <w:rsid w:val="007451C4"/>
    <w:rsid w:val="00745D04"/>
    <w:rsid w:val="0074611D"/>
    <w:rsid w:val="00746326"/>
    <w:rsid w:val="007469A0"/>
    <w:rsid w:val="007476AE"/>
    <w:rsid w:val="007509DD"/>
    <w:rsid w:val="00751828"/>
    <w:rsid w:val="0075195B"/>
    <w:rsid w:val="0075392E"/>
    <w:rsid w:val="00754052"/>
    <w:rsid w:val="007541F1"/>
    <w:rsid w:val="007555C4"/>
    <w:rsid w:val="00756647"/>
    <w:rsid w:val="00760CD8"/>
    <w:rsid w:val="0076195A"/>
    <w:rsid w:val="007625D0"/>
    <w:rsid w:val="00764341"/>
    <w:rsid w:val="00764D58"/>
    <w:rsid w:val="00765946"/>
    <w:rsid w:val="00766694"/>
    <w:rsid w:val="00767765"/>
    <w:rsid w:val="00767953"/>
    <w:rsid w:val="00770A95"/>
    <w:rsid w:val="00770C09"/>
    <w:rsid w:val="00771354"/>
    <w:rsid w:val="00771815"/>
    <w:rsid w:val="007719F9"/>
    <w:rsid w:val="0077234D"/>
    <w:rsid w:val="007739C9"/>
    <w:rsid w:val="00773EBA"/>
    <w:rsid w:val="00777FD0"/>
    <w:rsid w:val="007811D0"/>
    <w:rsid w:val="0078302B"/>
    <w:rsid w:val="007838BC"/>
    <w:rsid w:val="00783A7C"/>
    <w:rsid w:val="0078630A"/>
    <w:rsid w:val="00786A27"/>
    <w:rsid w:val="00786A2B"/>
    <w:rsid w:val="0078745A"/>
    <w:rsid w:val="00790FF4"/>
    <w:rsid w:val="007920CB"/>
    <w:rsid w:val="007920F6"/>
    <w:rsid w:val="00793D7C"/>
    <w:rsid w:val="00795239"/>
    <w:rsid w:val="007959DC"/>
    <w:rsid w:val="0079776A"/>
    <w:rsid w:val="007A03BF"/>
    <w:rsid w:val="007A0B3F"/>
    <w:rsid w:val="007A0E29"/>
    <w:rsid w:val="007A167D"/>
    <w:rsid w:val="007A23AF"/>
    <w:rsid w:val="007A45CF"/>
    <w:rsid w:val="007A512F"/>
    <w:rsid w:val="007A5E5F"/>
    <w:rsid w:val="007A6FDC"/>
    <w:rsid w:val="007B0990"/>
    <w:rsid w:val="007B0EFA"/>
    <w:rsid w:val="007B2A2D"/>
    <w:rsid w:val="007B2DE1"/>
    <w:rsid w:val="007B3AF3"/>
    <w:rsid w:val="007B4F2E"/>
    <w:rsid w:val="007B595D"/>
    <w:rsid w:val="007B787D"/>
    <w:rsid w:val="007C0D8E"/>
    <w:rsid w:val="007C1403"/>
    <w:rsid w:val="007C1F6A"/>
    <w:rsid w:val="007C3826"/>
    <w:rsid w:val="007C385E"/>
    <w:rsid w:val="007C3A91"/>
    <w:rsid w:val="007C3F0B"/>
    <w:rsid w:val="007C5049"/>
    <w:rsid w:val="007C5347"/>
    <w:rsid w:val="007C5CAD"/>
    <w:rsid w:val="007C62C1"/>
    <w:rsid w:val="007C659C"/>
    <w:rsid w:val="007C76ED"/>
    <w:rsid w:val="007D0430"/>
    <w:rsid w:val="007D0918"/>
    <w:rsid w:val="007D28B6"/>
    <w:rsid w:val="007D2E6C"/>
    <w:rsid w:val="007D3199"/>
    <w:rsid w:val="007D388B"/>
    <w:rsid w:val="007D53E9"/>
    <w:rsid w:val="007D610C"/>
    <w:rsid w:val="007D740C"/>
    <w:rsid w:val="007D7D2D"/>
    <w:rsid w:val="007D7E46"/>
    <w:rsid w:val="007E099B"/>
    <w:rsid w:val="007E0FE8"/>
    <w:rsid w:val="007E1F05"/>
    <w:rsid w:val="007E204F"/>
    <w:rsid w:val="007E2340"/>
    <w:rsid w:val="007E2504"/>
    <w:rsid w:val="007E3989"/>
    <w:rsid w:val="007E3E09"/>
    <w:rsid w:val="007E4257"/>
    <w:rsid w:val="007E5349"/>
    <w:rsid w:val="007F0460"/>
    <w:rsid w:val="007F0BD9"/>
    <w:rsid w:val="007F17CB"/>
    <w:rsid w:val="007F1D04"/>
    <w:rsid w:val="007F1D84"/>
    <w:rsid w:val="007F21D6"/>
    <w:rsid w:val="007F388B"/>
    <w:rsid w:val="007F400D"/>
    <w:rsid w:val="007F5525"/>
    <w:rsid w:val="007F68AF"/>
    <w:rsid w:val="007F7D7B"/>
    <w:rsid w:val="008009D5"/>
    <w:rsid w:val="00801078"/>
    <w:rsid w:val="008016FF"/>
    <w:rsid w:val="0080368F"/>
    <w:rsid w:val="00805801"/>
    <w:rsid w:val="00805B60"/>
    <w:rsid w:val="00805C53"/>
    <w:rsid w:val="00807C49"/>
    <w:rsid w:val="00814FF9"/>
    <w:rsid w:val="008151E1"/>
    <w:rsid w:val="00817022"/>
    <w:rsid w:val="008172F9"/>
    <w:rsid w:val="008176B5"/>
    <w:rsid w:val="00817DF5"/>
    <w:rsid w:val="00820312"/>
    <w:rsid w:val="00821851"/>
    <w:rsid w:val="00823577"/>
    <w:rsid w:val="00823B3C"/>
    <w:rsid w:val="008244FA"/>
    <w:rsid w:val="008250C5"/>
    <w:rsid w:val="008256DD"/>
    <w:rsid w:val="0082696A"/>
    <w:rsid w:val="0082706E"/>
    <w:rsid w:val="00827343"/>
    <w:rsid w:val="00827C16"/>
    <w:rsid w:val="00827C9C"/>
    <w:rsid w:val="008300FE"/>
    <w:rsid w:val="00830475"/>
    <w:rsid w:val="008313C6"/>
    <w:rsid w:val="008325B4"/>
    <w:rsid w:val="0083285B"/>
    <w:rsid w:val="0083343E"/>
    <w:rsid w:val="00833D96"/>
    <w:rsid w:val="00834F33"/>
    <w:rsid w:val="00835497"/>
    <w:rsid w:val="00836323"/>
    <w:rsid w:val="00836BC2"/>
    <w:rsid w:val="00837B34"/>
    <w:rsid w:val="00837C9B"/>
    <w:rsid w:val="00837FA7"/>
    <w:rsid w:val="00837FF3"/>
    <w:rsid w:val="008408F9"/>
    <w:rsid w:val="00844836"/>
    <w:rsid w:val="00846BAB"/>
    <w:rsid w:val="00846FF2"/>
    <w:rsid w:val="00850A82"/>
    <w:rsid w:val="00853AB4"/>
    <w:rsid w:val="00853F0A"/>
    <w:rsid w:val="00854714"/>
    <w:rsid w:val="0085583E"/>
    <w:rsid w:val="008607D5"/>
    <w:rsid w:val="00860C29"/>
    <w:rsid w:val="008618BD"/>
    <w:rsid w:val="0086227A"/>
    <w:rsid w:val="00863003"/>
    <w:rsid w:val="0086343A"/>
    <w:rsid w:val="0086499A"/>
    <w:rsid w:val="00866835"/>
    <w:rsid w:val="00866BBC"/>
    <w:rsid w:val="00866FD0"/>
    <w:rsid w:val="00867169"/>
    <w:rsid w:val="00867662"/>
    <w:rsid w:val="00870D11"/>
    <w:rsid w:val="00870FA9"/>
    <w:rsid w:val="00871BC7"/>
    <w:rsid w:val="008756AC"/>
    <w:rsid w:val="0087648F"/>
    <w:rsid w:val="00877AF9"/>
    <w:rsid w:val="00880D40"/>
    <w:rsid w:val="00880EAC"/>
    <w:rsid w:val="008824AB"/>
    <w:rsid w:val="00882D67"/>
    <w:rsid w:val="00883C0A"/>
    <w:rsid w:val="0088418D"/>
    <w:rsid w:val="0088438D"/>
    <w:rsid w:val="0088498D"/>
    <w:rsid w:val="008857C4"/>
    <w:rsid w:val="0088761B"/>
    <w:rsid w:val="00891E77"/>
    <w:rsid w:val="00891F99"/>
    <w:rsid w:val="0089302D"/>
    <w:rsid w:val="00893163"/>
    <w:rsid w:val="00893E28"/>
    <w:rsid w:val="00895010"/>
    <w:rsid w:val="00896873"/>
    <w:rsid w:val="00897334"/>
    <w:rsid w:val="008A0B95"/>
    <w:rsid w:val="008A0D25"/>
    <w:rsid w:val="008A27E4"/>
    <w:rsid w:val="008A2910"/>
    <w:rsid w:val="008A38E7"/>
    <w:rsid w:val="008A437B"/>
    <w:rsid w:val="008A5EAF"/>
    <w:rsid w:val="008A6194"/>
    <w:rsid w:val="008A6835"/>
    <w:rsid w:val="008A7C7F"/>
    <w:rsid w:val="008B16D7"/>
    <w:rsid w:val="008B1C0F"/>
    <w:rsid w:val="008B4026"/>
    <w:rsid w:val="008B4381"/>
    <w:rsid w:val="008B7093"/>
    <w:rsid w:val="008C0130"/>
    <w:rsid w:val="008C0CE6"/>
    <w:rsid w:val="008C2549"/>
    <w:rsid w:val="008C28C1"/>
    <w:rsid w:val="008C2A93"/>
    <w:rsid w:val="008C3514"/>
    <w:rsid w:val="008C4545"/>
    <w:rsid w:val="008C4606"/>
    <w:rsid w:val="008C69CA"/>
    <w:rsid w:val="008C6CF9"/>
    <w:rsid w:val="008C7484"/>
    <w:rsid w:val="008D20E8"/>
    <w:rsid w:val="008D283A"/>
    <w:rsid w:val="008D2C41"/>
    <w:rsid w:val="008D2E90"/>
    <w:rsid w:val="008D359D"/>
    <w:rsid w:val="008D4052"/>
    <w:rsid w:val="008D4059"/>
    <w:rsid w:val="008D4539"/>
    <w:rsid w:val="008D503A"/>
    <w:rsid w:val="008D728C"/>
    <w:rsid w:val="008E0BE6"/>
    <w:rsid w:val="008E2459"/>
    <w:rsid w:val="008E61B3"/>
    <w:rsid w:val="008E7990"/>
    <w:rsid w:val="008E7B15"/>
    <w:rsid w:val="008F0E9F"/>
    <w:rsid w:val="008F2253"/>
    <w:rsid w:val="008F323F"/>
    <w:rsid w:val="008F577B"/>
    <w:rsid w:val="009005A2"/>
    <w:rsid w:val="00902885"/>
    <w:rsid w:val="00904A99"/>
    <w:rsid w:val="0090588E"/>
    <w:rsid w:val="009068A1"/>
    <w:rsid w:val="009068F4"/>
    <w:rsid w:val="0091058D"/>
    <w:rsid w:val="009106AF"/>
    <w:rsid w:val="00911A2A"/>
    <w:rsid w:val="00911BE5"/>
    <w:rsid w:val="0091226A"/>
    <w:rsid w:val="009129EE"/>
    <w:rsid w:val="00916206"/>
    <w:rsid w:val="0091636A"/>
    <w:rsid w:val="0092050F"/>
    <w:rsid w:val="009212EC"/>
    <w:rsid w:val="009212F2"/>
    <w:rsid w:val="0092156D"/>
    <w:rsid w:val="0092216A"/>
    <w:rsid w:val="00922940"/>
    <w:rsid w:val="009243FA"/>
    <w:rsid w:val="00925B0D"/>
    <w:rsid w:val="00926A2B"/>
    <w:rsid w:val="009309B8"/>
    <w:rsid w:val="009310FF"/>
    <w:rsid w:val="00932201"/>
    <w:rsid w:val="0093228E"/>
    <w:rsid w:val="009322E4"/>
    <w:rsid w:val="00932B1D"/>
    <w:rsid w:val="00933222"/>
    <w:rsid w:val="00934862"/>
    <w:rsid w:val="00934EDD"/>
    <w:rsid w:val="009351CC"/>
    <w:rsid w:val="00936022"/>
    <w:rsid w:val="00942170"/>
    <w:rsid w:val="009433BC"/>
    <w:rsid w:val="00943B7F"/>
    <w:rsid w:val="00946053"/>
    <w:rsid w:val="00946831"/>
    <w:rsid w:val="00946E07"/>
    <w:rsid w:val="00947AD0"/>
    <w:rsid w:val="00947B21"/>
    <w:rsid w:val="009505D5"/>
    <w:rsid w:val="00951864"/>
    <w:rsid w:val="009518A4"/>
    <w:rsid w:val="00951AFD"/>
    <w:rsid w:val="00953619"/>
    <w:rsid w:val="00954568"/>
    <w:rsid w:val="00954A83"/>
    <w:rsid w:val="00955025"/>
    <w:rsid w:val="00961FED"/>
    <w:rsid w:val="009635A5"/>
    <w:rsid w:val="00963B37"/>
    <w:rsid w:val="00964B1A"/>
    <w:rsid w:val="00966392"/>
    <w:rsid w:val="0096640B"/>
    <w:rsid w:val="00967F8F"/>
    <w:rsid w:val="009713F1"/>
    <w:rsid w:val="00971DC0"/>
    <w:rsid w:val="00972A31"/>
    <w:rsid w:val="009738E6"/>
    <w:rsid w:val="009742DE"/>
    <w:rsid w:val="00975D52"/>
    <w:rsid w:val="00977486"/>
    <w:rsid w:val="009801DA"/>
    <w:rsid w:val="0098053E"/>
    <w:rsid w:val="00980B6A"/>
    <w:rsid w:val="00981C93"/>
    <w:rsid w:val="0098379A"/>
    <w:rsid w:val="00983B5A"/>
    <w:rsid w:val="009864E3"/>
    <w:rsid w:val="00987403"/>
    <w:rsid w:val="0098746D"/>
    <w:rsid w:val="00991506"/>
    <w:rsid w:val="009917E5"/>
    <w:rsid w:val="0099180D"/>
    <w:rsid w:val="00991C96"/>
    <w:rsid w:val="0099213D"/>
    <w:rsid w:val="00994DCF"/>
    <w:rsid w:val="00994F31"/>
    <w:rsid w:val="00995770"/>
    <w:rsid w:val="00996A60"/>
    <w:rsid w:val="0099778B"/>
    <w:rsid w:val="009A11F1"/>
    <w:rsid w:val="009A1356"/>
    <w:rsid w:val="009A2BEA"/>
    <w:rsid w:val="009A58FC"/>
    <w:rsid w:val="009A6989"/>
    <w:rsid w:val="009A7FA7"/>
    <w:rsid w:val="009B16BC"/>
    <w:rsid w:val="009B21B1"/>
    <w:rsid w:val="009B2583"/>
    <w:rsid w:val="009B2E61"/>
    <w:rsid w:val="009B3CFB"/>
    <w:rsid w:val="009B5AA8"/>
    <w:rsid w:val="009B5EA3"/>
    <w:rsid w:val="009B74D2"/>
    <w:rsid w:val="009B7AD4"/>
    <w:rsid w:val="009C2047"/>
    <w:rsid w:val="009C29D7"/>
    <w:rsid w:val="009C3136"/>
    <w:rsid w:val="009C367E"/>
    <w:rsid w:val="009C516E"/>
    <w:rsid w:val="009C52B2"/>
    <w:rsid w:val="009C5FDE"/>
    <w:rsid w:val="009C699D"/>
    <w:rsid w:val="009C7C70"/>
    <w:rsid w:val="009D057B"/>
    <w:rsid w:val="009D136D"/>
    <w:rsid w:val="009D1E95"/>
    <w:rsid w:val="009D388F"/>
    <w:rsid w:val="009D38D5"/>
    <w:rsid w:val="009D4F7B"/>
    <w:rsid w:val="009D6952"/>
    <w:rsid w:val="009D7827"/>
    <w:rsid w:val="009E0111"/>
    <w:rsid w:val="009E31E3"/>
    <w:rsid w:val="009E33C1"/>
    <w:rsid w:val="009E3C79"/>
    <w:rsid w:val="009E4385"/>
    <w:rsid w:val="009E5033"/>
    <w:rsid w:val="009E5559"/>
    <w:rsid w:val="009E58F9"/>
    <w:rsid w:val="009E6940"/>
    <w:rsid w:val="009E7502"/>
    <w:rsid w:val="009E77AE"/>
    <w:rsid w:val="009F02F0"/>
    <w:rsid w:val="009F107B"/>
    <w:rsid w:val="009F15F5"/>
    <w:rsid w:val="009F1762"/>
    <w:rsid w:val="009F1CD0"/>
    <w:rsid w:val="009F1EE7"/>
    <w:rsid w:val="009F4407"/>
    <w:rsid w:val="009F4FB8"/>
    <w:rsid w:val="009F76EA"/>
    <w:rsid w:val="00A00356"/>
    <w:rsid w:val="00A02B09"/>
    <w:rsid w:val="00A032DD"/>
    <w:rsid w:val="00A03B64"/>
    <w:rsid w:val="00A040BA"/>
    <w:rsid w:val="00A0528E"/>
    <w:rsid w:val="00A05DAB"/>
    <w:rsid w:val="00A06046"/>
    <w:rsid w:val="00A072DA"/>
    <w:rsid w:val="00A07324"/>
    <w:rsid w:val="00A07571"/>
    <w:rsid w:val="00A07A2D"/>
    <w:rsid w:val="00A11325"/>
    <w:rsid w:val="00A11335"/>
    <w:rsid w:val="00A127DD"/>
    <w:rsid w:val="00A12B81"/>
    <w:rsid w:val="00A12DFE"/>
    <w:rsid w:val="00A136F1"/>
    <w:rsid w:val="00A14339"/>
    <w:rsid w:val="00A144FA"/>
    <w:rsid w:val="00A149DA"/>
    <w:rsid w:val="00A14B14"/>
    <w:rsid w:val="00A14DE3"/>
    <w:rsid w:val="00A15A66"/>
    <w:rsid w:val="00A1620B"/>
    <w:rsid w:val="00A1706B"/>
    <w:rsid w:val="00A173DE"/>
    <w:rsid w:val="00A177A7"/>
    <w:rsid w:val="00A179C7"/>
    <w:rsid w:val="00A17A22"/>
    <w:rsid w:val="00A20DBA"/>
    <w:rsid w:val="00A22C25"/>
    <w:rsid w:val="00A2508C"/>
    <w:rsid w:val="00A30CD7"/>
    <w:rsid w:val="00A30D70"/>
    <w:rsid w:val="00A32AAA"/>
    <w:rsid w:val="00A335D6"/>
    <w:rsid w:val="00A377CB"/>
    <w:rsid w:val="00A40898"/>
    <w:rsid w:val="00A40DF5"/>
    <w:rsid w:val="00A42DB1"/>
    <w:rsid w:val="00A43A16"/>
    <w:rsid w:val="00A43C91"/>
    <w:rsid w:val="00A43D0F"/>
    <w:rsid w:val="00A450A1"/>
    <w:rsid w:val="00A4545F"/>
    <w:rsid w:val="00A47001"/>
    <w:rsid w:val="00A5037E"/>
    <w:rsid w:val="00A5071C"/>
    <w:rsid w:val="00A52CF1"/>
    <w:rsid w:val="00A54CD8"/>
    <w:rsid w:val="00A574B9"/>
    <w:rsid w:val="00A60068"/>
    <w:rsid w:val="00A6086B"/>
    <w:rsid w:val="00A60B47"/>
    <w:rsid w:val="00A62619"/>
    <w:rsid w:val="00A6301A"/>
    <w:rsid w:val="00A642CE"/>
    <w:rsid w:val="00A646DA"/>
    <w:rsid w:val="00A648D7"/>
    <w:rsid w:val="00A6738F"/>
    <w:rsid w:val="00A70827"/>
    <w:rsid w:val="00A72052"/>
    <w:rsid w:val="00A72858"/>
    <w:rsid w:val="00A73C00"/>
    <w:rsid w:val="00A74F0D"/>
    <w:rsid w:val="00A75271"/>
    <w:rsid w:val="00A7606C"/>
    <w:rsid w:val="00A77502"/>
    <w:rsid w:val="00A81566"/>
    <w:rsid w:val="00A81A45"/>
    <w:rsid w:val="00A85484"/>
    <w:rsid w:val="00A8589D"/>
    <w:rsid w:val="00A8602A"/>
    <w:rsid w:val="00A86221"/>
    <w:rsid w:val="00A87014"/>
    <w:rsid w:val="00A87C69"/>
    <w:rsid w:val="00A9004C"/>
    <w:rsid w:val="00A90377"/>
    <w:rsid w:val="00A9141F"/>
    <w:rsid w:val="00A914CF"/>
    <w:rsid w:val="00A9259D"/>
    <w:rsid w:val="00A94565"/>
    <w:rsid w:val="00A95687"/>
    <w:rsid w:val="00A97EA6"/>
    <w:rsid w:val="00AA1123"/>
    <w:rsid w:val="00AA37DD"/>
    <w:rsid w:val="00AA4ADB"/>
    <w:rsid w:val="00AA6102"/>
    <w:rsid w:val="00AA67DF"/>
    <w:rsid w:val="00AB17BD"/>
    <w:rsid w:val="00AB3346"/>
    <w:rsid w:val="00AB4B0F"/>
    <w:rsid w:val="00AB504A"/>
    <w:rsid w:val="00AB5763"/>
    <w:rsid w:val="00AB7D2A"/>
    <w:rsid w:val="00AC09F2"/>
    <w:rsid w:val="00AC1384"/>
    <w:rsid w:val="00AC13EC"/>
    <w:rsid w:val="00AC1D6F"/>
    <w:rsid w:val="00AC280D"/>
    <w:rsid w:val="00AC3605"/>
    <w:rsid w:val="00AC369D"/>
    <w:rsid w:val="00AC3846"/>
    <w:rsid w:val="00AC461B"/>
    <w:rsid w:val="00AC756D"/>
    <w:rsid w:val="00AD1576"/>
    <w:rsid w:val="00AD36D0"/>
    <w:rsid w:val="00AD4457"/>
    <w:rsid w:val="00AD6556"/>
    <w:rsid w:val="00AE18D8"/>
    <w:rsid w:val="00AE43B0"/>
    <w:rsid w:val="00AE48B6"/>
    <w:rsid w:val="00AF08D0"/>
    <w:rsid w:val="00AF0CDD"/>
    <w:rsid w:val="00AF1460"/>
    <w:rsid w:val="00AF3951"/>
    <w:rsid w:val="00AF43EA"/>
    <w:rsid w:val="00AF4582"/>
    <w:rsid w:val="00AF59A2"/>
    <w:rsid w:val="00AF5D2E"/>
    <w:rsid w:val="00B01CC7"/>
    <w:rsid w:val="00B025F2"/>
    <w:rsid w:val="00B02B0A"/>
    <w:rsid w:val="00B02FB3"/>
    <w:rsid w:val="00B042B6"/>
    <w:rsid w:val="00B04671"/>
    <w:rsid w:val="00B0631C"/>
    <w:rsid w:val="00B12B8E"/>
    <w:rsid w:val="00B13325"/>
    <w:rsid w:val="00B138B1"/>
    <w:rsid w:val="00B13C60"/>
    <w:rsid w:val="00B13D6D"/>
    <w:rsid w:val="00B14840"/>
    <w:rsid w:val="00B150C7"/>
    <w:rsid w:val="00B16FED"/>
    <w:rsid w:val="00B1735C"/>
    <w:rsid w:val="00B178D3"/>
    <w:rsid w:val="00B207DF"/>
    <w:rsid w:val="00B20E90"/>
    <w:rsid w:val="00B2180E"/>
    <w:rsid w:val="00B21BC3"/>
    <w:rsid w:val="00B22CF1"/>
    <w:rsid w:val="00B23338"/>
    <w:rsid w:val="00B23A7D"/>
    <w:rsid w:val="00B2427C"/>
    <w:rsid w:val="00B2498E"/>
    <w:rsid w:val="00B30255"/>
    <w:rsid w:val="00B30660"/>
    <w:rsid w:val="00B30AAC"/>
    <w:rsid w:val="00B30AB2"/>
    <w:rsid w:val="00B30DC9"/>
    <w:rsid w:val="00B32BA3"/>
    <w:rsid w:val="00B3359A"/>
    <w:rsid w:val="00B33A00"/>
    <w:rsid w:val="00B33FFC"/>
    <w:rsid w:val="00B35B0C"/>
    <w:rsid w:val="00B37AE2"/>
    <w:rsid w:val="00B37AE8"/>
    <w:rsid w:val="00B37B05"/>
    <w:rsid w:val="00B40352"/>
    <w:rsid w:val="00B40E87"/>
    <w:rsid w:val="00B410D1"/>
    <w:rsid w:val="00B41C0F"/>
    <w:rsid w:val="00B41F98"/>
    <w:rsid w:val="00B44B6F"/>
    <w:rsid w:val="00B45427"/>
    <w:rsid w:val="00B46307"/>
    <w:rsid w:val="00B46B5A"/>
    <w:rsid w:val="00B46C3B"/>
    <w:rsid w:val="00B47565"/>
    <w:rsid w:val="00B47AA9"/>
    <w:rsid w:val="00B50F44"/>
    <w:rsid w:val="00B51B89"/>
    <w:rsid w:val="00B52688"/>
    <w:rsid w:val="00B54F58"/>
    <w:rsid w:val="00B5541A"/>
    <w:rsid w:val="00B56D45"/>
    <w:rsid w:val="00B57222"/>
    <w:rsid w:val="00B577B0"/>
    <w:rsid w:val="00B60966"/>
    <w:rsid w:val="00B60FC7"/>
    <w:rsid w:val="00B61957"/>
    <w:rsid w:val="00B6451F"/>
    <w:rsid w:val="00B64B36"/>
    <w:rsid w:val="00B64DE3"/>
    <w:rsid w:val="00B66E63"/>
    <w:rsid w:val="00B71661"/>
    <w:rsid w:val="00B7196C"/>
    <w:rsid w:val="00B71A59"/>
    <w:rsid w:val="00B71B01"/>
    <w:rsid w:val="00B71CDE"/>
    <w:rsid w:val="00B72808"/>
    <w:rsid w:val="00B72DCF"/>
    <w:rsid w:val="00B7370E"/>
    <w:rsid w:val="00B73867"/>
    <w:rsid w:val="00B745AF"/>
    <w:rsid w:val="00B75762"/>
    <w:rsid w:val="00B76731"/>
    <w:rsid w:val="00B8069B"/>
    <w:rsid w:val="00B81A46"/>
    <w:rsid w:val="00B81C43"/>
    <w:rsid w:val="00B81C81"/>
    <w:rsid w:val="00B81CD8"/>
    <w:rsid w:val="00B81D2D"/>
    <w:rsid w:val="00B829EA"/>
    <w:rsid w:val="00B82C73"/>
    <w:rsid w:val="00B83392"/>
    <w:rsid w:val="00B83742"/>
    <w:rsid w:val="00B86B1C"/>
    <w:rsid w:val="00B90967"/>
    <w:rsid w:val="00B91F3D"/>
    <w:rsid w:val="00B92D3C"/>
    <w:rsid w:val="00B93328"/>
    <w:rsid w:val="00B95486"/>
    <w:rsid w:val="00B96B1A"/>
    <w:rsid w:val="00B97BB6"/>
    <w:rsid w:val="00BA0DC1"/>
    <w:rsid w:val="00BA1090"/>
    <w:rsid w:val="00BA18B5"/>
    <w:rsid w:val="00BA2AD1"/>
    <w:rsid w:val="00BA2D7B"/>
    <w:rsid w:val="00BA4CBF"/>
    <w:rsid w:val="00BA5B77"/>
    <w:rsid w:val="00BA626F"/>
    <w:rsid w:val="00BA7518"/>
    <w:rsid w:val="00BA7D7E"/>
    <w:rsid w:val="00BB040F"/>
    <w:rsid w:val="00BB0A20"/>
    <w:rsid w:val="00BB214E"/>
    <w:rsid w:val="00BB22C8"/>
    <w:rsid w:val="00BB2702"/>
    <w:rsid w:val="00BB2FF6"/>
    <w:rsid w:val="00BB47B2"/>
    <w:rsid w:val="00BB49AF"/>
    <w:rsid w:val="00BB5F0E"/>
    <w:rsid w:val="00BC0456"/>
    <w:rsid w:val="00BC0E27"/>
    <w:rsid w:val="00BC1946"/>
    <w:rsid w:val="00BC2194"/>
    <w:rsid w:val="00BC32D8"/>
    <w:rsid w:val="00BC369E"/>
    <w:rsid w:val="00BC3D82"/>
    <w:rsid w:val="00BC455A"/>
    <w:rsid w:val="00BC4FC9"/>
    <w:rsid w:val="00BC5CBB"/>
    <w:rsid w:val="00BC6252"/>
    <w:rsid w:val="00BC6FD5"/>
    <w:rsid w:val="00BD0EC5"/>
    <w:rsid w:val="00BD1FA5"/>
    <w:rsid w:val="00BD409B"/>
    <w:rsid w:val="00BD7CD6"/>
    <w:rsid w:val="00BE3F36"/>
    <w:rsid w:val="00BE55D8"/>
    <w:rsid w:val="00BE65C3"/>
    <w:rsid w:val="00BE6B28"/>
    <w:rsid w:val="00BE6E8A"/>
    <w:rsid w:val="00BF082D"/>
    <w:rsid w:val="00BF0FA6"/>
    <w:rsid w:val="00BF1E29"/>
    <w:rsid w:val="00BF2A6A"/>
    <w:rsid w:val="00BF2F72"/>
    <w:rsid w:val="00BF4430"/>
    <w:rsid w:val="00BF46D3"/>
    <w:rsid w:val="00BF60F7"/>
    <w:rsid w:val="00BF6576"/>
    <w:rsid w:val="00BF7067"/>
    <w:rsid w:val="00BF7FFE"/>
    <w:rsid w:val="00C05FE0"/>
    <w:rsid w:val="00C0612A"/>
    <w:rsid w:val="00C077F1"/>
    <w:rsid w:val="00C07A5E"/>
    <w:rsid w:val="00C07DC2"/>
    <w:rsid w:val="00C10C5C"/>
    <w:rsid w:val="00C11EEF"/>
    <w:rsid w:val="00C151B5"/>
    <w:rsid w:val="00C151F2"/>
    <w:rsid w:val="00C15BD8"/>
    <w:rsid w:val="00C16F73"/>
    <w:rsid w:val="00C17D43"/>
    <w:rsid w:val="00C213C5"/>
    <w:rsid w:val="00C22A9A"/>
    <w:rsid w:val="00C22AEC"/>
    <w:rsid w:val="00C22D19"/>
    <w:rsid w:val="00C2361B"/>
    <w:rsid w:val="00C2380B"/>
    <w:rsid w:val="00C24988"/>
    <w:rsid w:val="00C2536C"/>
    <w:rsid w:val="00C26C5B"/>
    <w:rsid w:val="00C27258"/>
    <w:rsid w:val="00C2750D"/>
    <w:rsid w:val="00C30A7C"/>
    <w:rsid w:val="00C30DF7"/>
    <w:rsid w:val="00C30F4C"/>
    <w:rsid w:val="00C310FA"/>
    <w:rsid w:val="00C31757"/>
    <w:rsid w:val="00C31D6C"/>
    <w:rsid w:val="00C3490D"/>
    <w:rsid w:val="00C352F8"/>
    <w:rsid w:val="00C3581E"/>
    <w:rsid w:val="00C35B4A"/>
    <w:rsid w:val="00C36F07"/>
    <w:rsid w:val="00C373D7"/>
    <w:rsid w:val="00C37A93"/>
    <w:rsid w:val="00C401A2"/>
    <w:rsid w:val="00C40922"/>
    <w:rsid w:val="00C40F39"/>
    <w:rsid w:val="00C41B2B"/>
    <w:rsid w:val="00C42B41"/>
    <w:rsid w:val="00C44A41"/>
    <w:rsid w:val="00C4552C"/>
    <w:rsid w:val="00C45785"/>
    <w:rsid w:val="00C45A4F"/>
    <w:rsid w:val="00C46E2D"/>
    <w:rsid w:val="00C515CC"/>
    <w:rsid w:val="00C51E06"/>
    <w:rsid w:val="00C5455E"/>
    <w:rsid w:val="00C60555"/>
    <w:rsid w:val="00C6129E"/>
    <w:rsid w:val="00C618D4"/>
    <w:rsid w:val="00C619BC"/>
    <w:rsid w:val="00C61FE1"/>
    <w:rsid w:val="00C62155"/>
    <w:rsid w:val="00C62AF2"/>
    <w:rsid w:val="00C62FE3"/>
    <w:rsid w:val="00C63B08"/>
    <w:rsid w:val="00C64658"/>
    <w:rsid w:val="00C656AA"/>
    <w:rsid w:val="00C65877"/>
    <w:rsid w:val="00C65E6A"/>
    <w:rsid w:val="00C66628"/>
    <w:rsid w:val="00C679FF"/>
    <w:rsid w:val="00C70EF0"/>
    <w:rsid w:val="00C725CB"/>
    <w:rsid w:val="00C730D1"/>
    <w:rsid w:val="00C73387"/>
    <w:rsid w:val="00C77952"/>
    <w:rsid w:val="00C80738"/>
    <w:rsid w:val="00C832C8"/>
    <w:rsid w:val="00C83587"/>
    <w:rsid w:val="00C83B5B"/>
    <w:rsid w:val="00C8542A"/>
    <w:rsid w:val="00C86ECF"/>
    <w:rsid w:val="00C909C8"/>
    <w:rsid w:val="00C909ED"/>
    <w:rsid w:val="00C91184"/>
    <w:rsid w:val="00C9402D"/>
    <w:rsid w:val="00C945CB"/>
    <w:rsid w:val="00C94DAA"/>
    <w:rsid w:val="00C95223"/>
    <w:rsid w:val="00C95AF4"/>
    <w:rsid w:val="00C96A38"/>
    <w:rsid w:val="00CA04C7"/>
    <w:rsid w:val="00CA2DDA"/>
    <w:rsid w:val="00CA571F"/>
    <w:rsid w:val="00CA5D81"/>
    <w:rsid w:val="00CA65DF"/>
    <w:rsid w:val="00CA7C2E"/>
    <w:rsid w:val="00CB0CE3"/>
    <w:rsid w:val="00CB0E57"/>
    <w:rsid w:val="00CB1DDE"/>
    <w:rsid w:val="00CB2260"/>
    <w:rsid w:val="00CB32A2"/>
    <w:rsid w:val="00CB403D"/>
    <w:rsid w:val="00CB4D4E"/>
    <w:rsid w:val="00CB4F9A"/>
    <w:rsid w:val="00CB6076"/>
    <w:rsid w:val="00CB7268"/>
    <w:rsid w:val="00CC15CC"/>
    <w:rsid w:val="00CC220F"/>
    <w:rsid w:val="00CC2871"/>
    <w:rsid w:val="00CC4003"/>
    <w:rsid w:val="00CC4321"/>
    <w:rsid w:val="00CC4E2C"/>
    <w:rsid w:val="00CC6DE2"/>
    <w:rsid w:val="00CC75E5"/>
    <w:rsid w:val="00CD3173"/>
    <w:rsid w:val="00CD35A2"/>
    <w:rsid w:val="00CD3A0C"/>
    <w:rsid w:val="00CD428B"/>
    <w:rsid w:val="00CD4E78"/>
    <w:rsid w:val="00CD578A"/>
    <w:rsid w:val="00CD5D38"/>
    <w:rsid w:val="00CD6853"/>
    <w:rsid w:val="00CD6C58"/>
    <w:rsid w:val="00CD76EA"/>
    <w:rsid w:val="00CD7F8B"/>
    <w:rsid w:val="00CE025F"/>
    <w:rsid w:val="00CE057F"/>
    <w:rsid w:val="00CE13C3"/>
    <w:rsid w:val="00CE21DA"/>
    <w:rsid w:val="00CE41D8"/>
    <w:rsid w:val="00CE47EF"/>
    <w:rsid w:val="00CE58BB"/>
    <w:rsid w:val="00CE61A4"/>
    <w:rsid w:val="00CF0871"/>
    <w:rsid w:val="00CF0E51"/>
    <w:rsid w:val="00CF1F18"/>
    <w:rsid w:val="00CF1F2F"/>
    <w:rsid w:val="00CF20BB"/>
    <w:rsid w:val="00CF241B"/>
    <w:rsid w:val="00CF3539"/>
    <w:rsid w:val="00CF4055"/>
    <w:rsid w:val="00CF4E12"/>
    <w:rsid w:val="00CF6154"/>
    <w:rsid w:val="00CF7487"/>
    <w:rsid w:val="00D00629"/>
    <w:rsid w:val="00D0451F"/>
    <w:rsid w:val="00D04CB1"/>
    <w:rsid w:val="00D05146"/>
    <w:rsid w:val="00D05A3D"/>
    <w:rsid w:val="00D067FB"/>
    <w:rsid w:val="00D07F0D"/>
    <w:rsid w:val="00D111BF"/>
    <w:rsid w:val="00D135EF"/>
    <w:rsid w:val="00D1522F"/>
    <w:rsid w:val="00D15CAE"/>
    <w:rsid w:val="00D16131"/>
    <w:rsid w:val="00D166EE"/>
    <w:rsid w:val="00D17CE7"/>
    <w:rsid w:val="00D22BAA"/>
    <w:rsid w:val="00D24335"/>
    <w:rsid w:val="00D248F2"/>
    <w:rsid w:val="00D25A1F"/>
    <w:rsid w:val="00D26692"/>
    <w:rsid w:val="00D274F5"/>
    <w:rsid w:val="00D27832"/>
    <w:rsid w:val="00D27A07"/>
    <w:rsid w:val="00D311E1"/>
    <w:rsid w:val="00D32203"/>
    <w:rsid w:val="00D326CC"/>
    <w:rsid w:val="00D32FA7"/>
    <w:rsid w:val="00D33371"/>
    <w:rsid w:val="00D339C2"/>
    <w:rsid w:val="00D3445B"/>
    <w:rsid w:val="00D34E2E"/>
    <w:rsid w:val="00D35211"/>
    <w:rsid w:val="00D35408"/>
    <w:rsid w:val="00D360BD"/>
    <w:rsid w:val="00D40D0D"/>
    <w:rsid w:val="00D41CB1"/>
    <w:rsid w:val="00D41D67"/>
    <w:rsid w:val="00D4270E"/>
    <w:rsid w:val="00D42982"/>
    <w:rsid w:val="00D432DE"/>
    <w:rsid w:val="00D43DE8"/>
    <w:rsid w:val="00D454EF"/>
    <w:rsid w:val="00D45C94"/>
    <w:rsid w:val="00D460A1"/>
    <w:rsid w:val="00D50B82"/>
    <w:rsid w:val="00D50CD4"/>
    <w:rsid w:val="00D51105"/>
    <w:rsid w:val="00D52AE3"/>
    <w:rsid w:val="00D53A6A"/>
    <w:rsid w:val="00D54B5D"/>
    <w:rsid w:val="00D54BCF"/>
    <w:rsid w:val="00D565AB"/>
    <w:rsid w:val="00D56677"/>
    <w:rsid w:val="00D6024B"/>
    <w:rsid w:val="00D62E89"/>
    <w:rsid w:val="00D63916"/>
    <w:rsid w:val="00D6420D"/>
    <w:rsid w:val="00D64894"/>
    <w:rsid w:val="00D657D9"/>
    <w:rsid w:val="00D65FB1"/>
    <w:rsid w:val="00D66A19"/>
    <w:rsid w:val="00D670F5"/>
    <w:rsid w:val="00D672CB"/>
    <w:rsid w:val="00D72095"/>
    <w:rsid w:val="00D72B13"/>
    <w:rsid w:val="00D741FE"/>
    <w:rsid w:val="00D743CE"/>
    <w:rsid w:val="00D74C45"/>
    <w:rsid w:val="00D758F1"/>
    <w:rsid w:val="00D76102"/>
    <w:rsid w:val="00D76743"/>
    <w:rsid w:val="00D806A1"/>
    <w:rsid w:val="00D80940"/>
    <w:rsid w:val="00D81C0D"/>
    <w:rsid w:val="00D81EE5"/>
    <w:rsid w:val="00D82A8E"/>
    <w:rsid w:val="00D8382D"/>
    <w:rsid w:val="00D83C5B"/>
    <w:rsid w:val="00D84661"/>
    <w:rsid w:val="00D847BA"/>
    <w:rsid w:val="00D92083"/>
    <w:rsid w:val="00D9217D"/>
    <w:rsid w:val="00D9549D"/>
    <w:rsid w:val="00D96AE1"/>
    <w:rsid w:val="00DA59F1"/>
    <w:rsid w:val="00DA7D01"/>
    <w:rsid w:val="00DB0724"/>
    <w:rsid w:val="00DB11D9"/>
    <w:rsid w:val="00DB174E"/>
    <w:rsid w:val="00DB1EE0"/>
    <w:rsid w:val="00DB3530"/>
    <w:rsid w:val="00DB3E2B"/>
    <w:rsid w:val="00DB543A"/>
    <w:rsid w:val="00DB7AFA"/>
    <w:rsid w:val="00DC097B"/>
    <w:rsid w:val="00DC18DB"/>
    <w:rsid w:val="00DC27C8"/>
    <w:rsid w:val="00DC34B2"/>
    <w:rsid w:val="00DC3847"/>
    <w:rsid w:val="00DC6933"/>
    <w:rsid w:val="00DC6FB7"/>
    <w:rsid w:val="00DC739D"/>
    <w:rsid w:val="00DD03DF"/>
    <w:rsid w:val="00DD099A"/>
    <w:rsid w:val="00DD1385"/>
    <w:rsid w:val="00DD1E8D"/>
    <w:rsid w:val="00DD2DDC"/>
    <w:rsid w:val="00DD306E"/>
    <w:rsid w:val="00DD3834"/>
    <w:rsid w:val="00DD52B7"/>
    <w:rsid w:val="00DD548A"/>
    <w:rsid w:val="00DD73C1"/>
    <w:rsid w:val="00DE0867"/>
    <w:rsid w:val="00DE2B1D"/>
    <w:rsid w:val="00DE3E0A"/>
    <w:rsid w:val="00DE4CBC"/>
    <w:rsid w:val="00DE570D"/>
    <w:rsid w:val="00DE5FBA"/>
    <w:rsid w:val="00DF1027"/>
    <w:rsid w:val="00DF1602"/>
    <w:rsid w:val="00DF1AEA"/>
    <w:rsid w:val="00DF2613"/>
    <w:rsid w:val="00DF3482"/>
    <w:rsid w:val="00DF4FE7"/>
    <w:rsid w:val="00DF5556"/>
    <w:rsid w:val="00DF5C9C"/>
    <w:rsid w:val="00E00C20"/>
    <w:rsid w:val="00E01C53"/>
    <w:rsid w:val="00E01EFA"/>
    <w:rsid w:val="00E01FD2"/>
    <w:rsid w:val="00E02367"/>
    <w:rsid w:val="00E02495"/>
    <w:rsid w:val="00E03A77"/>
    <w:rsid w:val="00E03D3D"/>
    <w:rsid w:val="00E04C6A"/>
    <w:rsid w:val="00E04F6A"/>
    <w:rsid w:val="00E06F5F"/>
    <w:rsid w:val="00E12AA0"/>
    <w:rsid w:val="00E12B35"/>
    <w:rsid w:val="00E13840"/>
    <w:rsid w:val="00E16B87"/>
    <w:rsid w:val="00E16ECF"/>
    <w:rsid w:val="00E21004"/>
    <w:rsid w:val="00E21037"/>
    <w:rsid w:val="00E21CB3"/>
    <w:rsid w:val="00E2286D"/>
    <w:rsid w:val="00E23A84"/>
    <w:rsid w:val="00E23FB5"/>
    <w:rsid w:val="00E24219"/>
    <w:rsid w:val="00E2454B"/>
    <w:rsid w:val="00E24BDE"/>
    <w:rsid w:val="00E251E7"/>
    <w:rsid w:val="00E262B0"/>
    <w:rsid w:val="00E26785"/>
    <w:rsid w:val="00E2691F"/>
    <w:rsid w:val="00E26FD0"/>
    <w:rsid w:val="00E270CD"/>
    <w:rsid w:val="00E27348"/>
    <w:rsid w:val="00E30DBD"/>
    <w:rsid w:val="00E3363A"/>
    <w:rsid w:val="00E36333"/>
    <w:rsid w:val="00E36550"/>
    <w:rsid w:val="00E36CF2"/>
    <w:rsid w:val="00E376B6"/>
    <w:rsid w:val="00E40B76"/>
    <w:rsid w:val="00E41512"/>
    <w:rsid w:val="00E43288"/>
    <w:rsid w:val="00E4342B"/>
    <w:rsid w:val="00E43AEB"/>
    <w:rsid w:val="00E43B85"/>
    <w:rsid w:val="00E43CCA"/>
    <w:rsid w:val="00E45934"/>
    <w:rsid w:val="00E46AF5"/>
    <w:rsid w:val="00E47B5F"/>
    <w:rsid w:val="00E52227"/>
    <w:rsid w:val="00E52FDB"/>
    <w:rsid w:val="00E5326C"/>
    <w:rsid w:val="00E554B3"/>
    <w:rsid w:val="00E5598B"/>
    <w:rsid w:val="00E562BC"/>
    <w:rsid w:val="00E56848"/>
    <w:rsid w:val="00E56C71"/>
    <w:rsid w:val="00E57A75"/>
    <w:rsid w:val="00E606D1"/>
    <w:rsid w:val="00E606FA"/>
    <w:rsid w:val="00E610CA"/>
    <w:rsid w:val="00E61A71"/>
    <w:rsid w:val="00E6246D"/>
    <w:rsid w:val="00E624BB"/>
    <w:rsid w:val="00E62B72"/>
    <w:rsid w:val="00E6334E"/>
    <w:rsid w:val="00E63FE7"/>
    <w:rsid w:val="00E65282"/>
    <w:rsid w:val="00E6763B"/>
    <w:rsid w:val="00E67C20"/>
    <w:rsid w:val="00E67F40"/>
    <w:rsid w:val="00E701A3"/>
    <w:rsid w:val="00E71681"/>
    <w:rsid w:val="00E74137"/>
    <w:rsid w:val="00E765D2"/>
    <w:rsid w:val="00E801BD"/>
    <w:rsid w:val="00E805A4"/>
    <w:rsid w:val="00E806E9"/>
    <w:rsid w:val="00E8184A"/>
    <w:rsid w:val="00E8423E"/>
    <w:rsid w:val="00E87887"/>
    <w:rsid w:val="00E9285A"/>
    <w:rsid w:val="00E93BA6"/>
    <w:rsid w:val="00E93FC7"/>
    <w:rsid w:val="00E9555E"/>
    <w:rsid w:val="00E95AF9"/>
    <w:rsid w:val="00E9644F"/>
    <w:rsid w:val="00E97B2D"/>
    <w:rsid w:val="00EA09AB"/>
    <w:rsid w:val="00EA18E2"/>
    <w:rsid w:val="00EA2C51"/>
    <w:rsid w:val="00EA2CCE"/>
    <w:rsid w:val="00EA348E"/>
    <w:rsid w:val="00EA35FE"/>
    <w:rsid w:val="00EA6C0A"/>
    <w:rsid w:val="00EA7E9B"/>
    <w:rsid w:val="00EB145F"/>
    <w:rsid w:val="00EB3635"/>
    <w:rsid w:val="00EB3B8A"/>
    <w:rsid w:val="00EB44DA"/>
    <w:rsid w:val="00EB63C8"/>
    <w:rsid w:val="00EB6AA6"/>
    <w:rsid w:val="00EB773E"/>
    <w:rsid w:val="00EB7CDC"/>
    <w:rsid w:val="00EC0621"/>
    <w:rsid w:val="00EC07A9"/>
    <w:rsid w:val="00EC1721"/>
    <w:rsid w:val="00EC3345"/>
    <w:rsid w:val="00EC4509"/>
    <w:rsid w:val="00EC55BA"/>
    <w:rsid w:val="00ED0283"/>
    <w:rsid w:val="00ED0D1C"/>
    <w:rsid w:val="00ED147B"/>
    <w:rsid w:val="00ED18B3"/>
    <w:rsid w:val="00ED64B6"/>
    <w:rsid w:val="00ED7661"/>
    <w:rsid w:val="00ED7FD0"/>
    <w:rsid w:val="00EE08A9"/>
    <w:rsid w:val="00EE1076"/>
    <w:rsid w:val="00EE14E4"/>
    <w:rsid w:val="00EE22D2"/>
    <w:rsid w:val="00EE2882"/>
    <w:rsid w:val="00EE2953"/>
    <w:rsid w:val="00EE2E55"/>
    <w:rsid w:val="00EE3DDB"/>
    <w:rsid w:val="00EE3F5C"/>
    <w:rsid w:val="00EE47C6"/>
    <w:rsid w:val="00EE47DB"/>
    <w:rsid w:val="00EE4E18"/>
    <w:rsid w:val="00EE4EEC"/>
    <w:rsid w:val="00EE56C7"/>
    <w:rsid w:val="00EF01D5"/>
    <w:rsid w:val="00EF0A05"/>
    <w:rsid w:val="00EF10D3"/>
    <w:rsid w:val="00EF24DC"/>
    <w:rsid w:val="00EF2DD6"/>
    <w:rsid w:val="00EF31E4"/>
    <w:rsid w:val="00EF3726"/>
    <w:rsid w:val="00EF405A"/>
    <w:rsid w:val="00EF45B7"/>
    <w:rsid w:val="00EF4D65"/>
    <w:rsid w:val="00EF5FD9"/>
    <w:rsid w:val="00EF63E6"/>
    <w:rsid w:val="00EF7544"/>
    <w:rsid w:val="00F00DA5"/>
    <w:rsid w:val="00F00E0F"/>
    <w:rsid w:val="00F01C88"/>
    <w:rsid w:val="00F02EAD"/>
    <w:rsid w:val="00F02F49"/>
    <w:rsid w:val="00F03982"/>
    <w:rsid w:val="00F03DF1"/>
    <w:rsid w:val="00F041E2"/>
    <w:rsid w:val="00F043CC"/>
    <w:rsid w:val="00F0736E"/>
    <w:rsid w:val="00F0739D"/>
    <w:rsid w:val="00F077A3"/>
    <w:rsid w:val="00F12046"/>
    <w:rsid w:val="00F13F00"/>
    <w:rsid w:val="00F150F4"/>
    <w:rsid w:val="00F15DE4"/>
    <w:rsid w:val="00F164CD"/>
    <w:rsid w:val="00F1786C"/>
    <w:rsid w:val="00F200A9"/>
    <w:rsid w:val="00F20444"/>
    <w:rsid w:val="00F20C1E"/>
    <w:rsid w:val="00F20CB0"/>
    <w:rsid w:val="00F20F39"/>
    <w:rsid w:val="00F2228B"/>
    <w:rsid w:val="00F22441"/>
    <w:rsid w:val="00F233FF"/>
    <w:rsid w:val="00F24FC9"/>
    <w:rsid w:val="00F264AA"/>
    <w:rsid w:val="00F272D7"/>
    <w:rsid w:val="00F273B2"/>
    <w:rsid w:val="00F27B96"/>
    <w:rsid w:val="00F31995"/>
    <w:rsid w:val="00F31D6B"/>
    <w:rsid w:val="00F335D9"/>
    <w:rsid w:val="00F35003"/>
    <w:rsid w:val="00F35968"/>
    <w:rsid w:val="00F36793"/>
    <w:rsid w:val="00F40314"/>
    <w:rsid w:val="00F422EA"/>
    <w:rsid w:val="00F43462"/>
    <w:rsid w:val="00F439FD"/>
    <w:rsid w:val="00F43FB0"/>
    <w:rsid w:val="00F478D8"/>
    <w:rsid w:val="00F47D36"/>
    <w:rsid w:val="00F47ED6"/>
    <w:rsid w:val="00F51039"/>
    <w:rsid w:val="00F524B5"/>
    <w:rsid w:val="00F52F8D"/>
    <w:rsid w:val="00F53ECD"/>
    <w:rsid w:val="00F5428A"/>
    <w:rsid w:val="00F555FE"/>
    <w:rsid w:val="00F568CF"/>
    <w:rsid w:val="00F5791F"/>
    <w:rsid w:val="00F60D8D"/>
    <w:rsid w:val="00F61C1E"/>
    <w:rsid w:val="00F61D87"/>
    <w:rsid w:val="00F61F8B"/>
    <w:rsid w:val="00F62243"/>
    <w:rsid w:val="00F633A7"/>
    <w:rsid w:val="00F64124"/>
    <w:rsid w:val="00F6464A"/>
    <w:rsid w:val="00F64876"/>
    <w:rsid w:val="00F65CB9"/>
    <w:rsid w:val="00F65E73"/>
    <w:rsid w:val="00F71F55"/>
    <w:rsid w:val="00F722B9"/>
    <w:rsid w:val="00F72EA3"/>
    <w:rsid w:val="00F72EE0"/>
    <w:rsid w:val="00F73FED"/>
    <w:rsid w:val="00F74C34"/>
    <w:rsid w:val="00F75070"/>
    <w:rsid w:val="00F7645D"/>
    <w:rsid w:val="00F76B00"/>
    <w:rsid w:val="00F76DA0"/>
    <w:rsid w:val="00F76E0A"/>
    <w:rsid w:val="00F7796B"/>
    <w:rsid w:val="00F80AB1"/>
    <w:rsid w:val="00F8227C"/>
    <w:rsid w:val="00F84AA6"/>
    <w:rsid w:val="00F84C00"/>
    <w:rsid w:val="00F9008D"/>
    <w:rsid w:val="00F90565"/>
    <w:rsid w:val="00F90740"/>
    <w:rsid w:val="00F91A7A"/>
    <w:rsid w:val="00F920A9"/>
    <w:rsid w:val="00F9335E"/>
    <w:rsid w:val="00F93572"/>
    <w:rsid w:val="00F9370B"/>
    <w:rsid w:val="00F9393F"/>
    <w:rsid w:val="00F93F6E"/>
    <w:rsid w:val="00F947CA"/>
    <w:rsid w:val="00F97C70"/>
    <w:rsid w:val="00FA0274"/>
    <w:rsid w:val="00FA05DD"/>
    <w:rsid w:val="00FA0EC1"/>
    <w:rsid w:val="00FA1603"/>
    <w:rsid w:val="00FA2360"/>
    <w:rsid w:val="00FA27B4"/>
    <w:rsid w:val="00FA39C4"/>
    <w:rsid w:val="00FA3DBC"/>
    <w:rsid w:val="00FA3F17"/>
    <w:rsid w:val="00FA40CD"/>
    <w:rsid w:val="00FA48CB"/>
    <w:rsid w:val="00FA50B6"/>
    <w:rsid w:val="00FA599D"/>
    <w:rsid w:val="00FA5A2D"/>
    <w:rsid w:val="00FA63FB"/>
    <w:rsid w:val="00FB0049"/>
    <w:rsid w:val="00FB036B"/>
    <w:rsid w:val="00FB04E3"/>
    <w:rsid w:val="00FB0B92"/>
    <w:rsid w:val="00FB0FE1"/>
    <w:rsid w:val="00FB38CF"/>
    <w:rsid w:val="00FB38EC"/>
    <w:rsid w:val="00FB437C"/>
    <w:rsid w:val="00FB478A"/>
    <w:rsid w:val="00FB5CCF"/>
    <w:rsid w:val="00FB764D"/>
    <w:rsid w:val="00FC10C9"/>
    <w:rsid w:val="00FC1413"/>
    <w:rsid w:val="00FC161A"/>
    <w:rsid w:val="00FC2AA6"/>
    <w:rsid w:val="00FC2AAA"/>
    <w:rsid w:val="00FC2D07"/>
    <w:rsid w:val="00FC3EE5"/>
    <w:rsid w:val="00FC429F"/>
    <w:rsid w:val="00FC51F1"/>
    <w:rsid w:val="00FC58FC"/>
    <w:rsid w:val="00FC7103"/>
    <w:rsid w:val="00FC715E"/>
    <w:rsid w:val="00FC766D"/>
    <w:rsid w:val="00FC799B"/>
    <w:rsid w:val="00FD07F4"/>
    <w:rsid w:val="00FD0FD0"/>
    <w:rsid w:val="00FD2152"/>
    <w:rsid w:val="00FD3683"/>
    <w:rsid w:val="00FD56E3"/>
    <w:rsid w:val="00FD6F22"/>
    <w:rsid w:val="00FD79E9"/>
    <w:rsid w:val="00FD7FA5"/>
    <w:rsid w:val="00FE04DA"/>
    <w:rsid w:val="00FE0548"/>
    <w:rsid w:val="00FE2397"/>
    <w:rsid w:val="00FE3D18"/>
    <w:rsid w:val="00FE44BD"/>
    <w:rsid w:val="00FE4A1D"/>
    <w:rsid w:val="00FE56EC"/>
    <w:rsid w:val="00FE58BF"/>
    <w:rsid w:val="00FE7436"/>
    <w:rsid w:val="00FE7AD6"/>
    <w:rsid w:val="00FE7FCE"/>
    <w:rsid w:val="00FF17DD"/>
    <w:rsid w:val="00FF1F59"/>
    <w:rsid w:val="00FF24DA"/>
    <w:rsid w:val="00FF4A00"/>
    <w:rsid w:val="00FF506B"/>
    <w:rsid w:val="0AAC3732"/>
    <w:rsid w:val="0C355815"/>
    <w:rsid w:val="0D4649EA"/>
    <w:rsid w:val="0DE45477"/>
    <w:rsid w:val="0FB22161"/>
    <w:rsid w:val="12FF67E4"/>
    <w:rsid w:val="162D2E8D"/>
    <w:rsid w:val="1AA156A8"/>
    <w:rsid w:val="1CB36783"/>
    <w:rsid w:val="21175BC7"/>
    <w:rsid w:val="257E2CCD"/>
    <w:rsid w:val="283023BA"/>
    <w:rsid w:val="2B4F2A2F"/>
    <w:rsid w:val="2FE00E1B"/>
    <w:rsid w:val="32925427"/>
    <w:rsid w:val="33F96D05"/>
    <w:rsid w:val="346B7911"/>
    <w:rsid w:val="37351FD5"/>
    <w:rsid w:val="377237C6"/>
    <w:rsid w:val="3A2F60F7"/>
    <w:rsid w:val="3A463AFF"/>
    <w:rsid w:val="3BB83F7A"/>
    <w:rsid w:val="3D7052FE"/>
    <w:rsid w:val="4152786C"/>
    <w:rsid w:val="41B14EBA"/>
    <w:rsid w:val="42D7318F"/>
    <w:rsid w:val="451D67ED"/>
    <w:rsid w:val="46A54F00"/>
    <w:rsid w:val="48080198"/>
    <w:rsid w:val="484841A9"/>
    <w:rsid w:val="4FFB7241"/>
    <w:rsid w:val="51F541F6"/>
    <w:rsid w:val="598B3BD7"/>
    <w:rsid w:val="5C2202A7"/>
    <w:rsid w:val="64E44BF1"/>
    <w:rsid w:val="6C962D01"/>
    <w:rsid w:val="6D5629FA"/>
    <w:rsid w:val="6E972FD7"/>
    <w:rsid w:val="744B218E"/>
    <w:rsid w:val="74F90724"/>
    <w:rsid w:val="75413C93"/>
    <w:rsid w:val="7E04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qFormat="1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7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48"/>
    <w:qFormat/>
    <w:uiPriority w:val="0"/>
    <w:pPr>
      <w:keepNext/>
      <w:tabs>
        <w:tab w:val="left" w:pos="5370"/>
      </w:tabs>
      <w:outlineLvl w:val="2"/>
    </w:pPr>
    <w:rPr>
      <w:b/>
      <w:bCs/>
      <w:sz w:val="28"/>
    </w:rPr>
  </w:style>
  <w:style w:type="paragraph" w:styleId="5">
    <w:name w:val="heading 4"/>
    <w:basedOn w:val="1"/>
    <w:next w:val="1"/>
    <w:link w:val="49"/>
    <w:qFormat/>
    <w:uiPriority w:val="0"/>
    <w:pPr>
      <w:keepNext/>
      <w:jc w:val="center"/>
      <w:outlineLvl w:val="3"/>
    </w:pPr>
    <w:rPr>
      <w:sz w:val="32"/>
      <w:szCs w:val="32"/>
    </w:rPr>
  </w:style>
  <w:style w:type="paragraph" w:styleId="6">
    <w:name w:val="heading 5"/>
    <w:basedOn w:val="1"/>
    <w:next w:val="1"/>
    <w:link w:val="50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5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79"/>
    <w:qFormat/>
    <w:uiPriority w:val="0"/>
    <w:pPr>
      <w:spacing w:before="240" w:after="60"/>
      <w:outlineLvl w:val="6"/>
    </w:pPr>
    <w:rPr>
      <w:rFonts w:eastAsia="Calibri"/>
    </w:rPr>
  </w:style>
  <w:style w:type="paragraph" w:styleId="9">
    <w:name w:val="heading 8"/>
    <w:basedOn w:val="1"/>
    <w:next w:val="1"/>
    <w:link w:val="80"/>
    <w:qFormat/>
    <w:uiPriority w:val="0"/>
    <w:pPr>
      <w:spacing w:before="240" w:after="60"/>
      <w:outlineLvl w:val="7"/>
    </w:pPr>
    <w:rPr>
      <w:rFonts w:eastAsia="Calibri"/>
      <w:i/>
      <w:iCs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semiHidden/>
    <w:qFormat/>
    <w:uiPriority w:val="0"/>
    <w:rPr>
      <w:rFonts w:cs="Times New Roman"/>
      <w:color w:val="800080"/>
      <w:u w:val="single"/>
    </w:rPr>
  </w:style>
  <w:style w:type="character" w:styleId="13">
    <w:name w:val="annotation reference"/>
    <w:semiHidden/>
    <w:qFormat/>
    <w:uiPriority w:val="0"/>
    <w:rPr>
      <w:sz w:val="16"/>
      <w:szCs w:val="16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page number"/>
    <w:basedOn w:val="10"/>
    <w:qFormat/>
    <w:uiPriority w:val="0"/>
  </w:style>
  <w:style w:type="character" w:styleId="17">
    <w:name w:val="line number"/>
    <w:basedOn w:val="10"/>
    <w:semiHidden/>
    <w:unhideWhenUsed/>
    <w:qFormat/>
    <w:uiPriority w:val="99"/>
  </w:style>
  <w:style w:type="character" w:styleId="18">
    <w:name w:val="Strong"/>
    <w:basedOn w:val="10"/>
    <w:qFormat/>
    <w:uiPriority w:val="22"/>
    <w:rPr>
      <w:b/>
      <w:bCs/>
    </w:rPr>
  </w:style>
  <w:style w:type="paragraph" w:styleId="19">
    <w:name w:val="Balloon Text"/>
    <w:basedOn w:val="1"/>
    <w:link w:val="35"/>
    <w:unhideWhenUsed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2"/>
    <w:basedOn w:val="1"/>
    <w:link w:val="81"/>
    <w:semiHidden/>
    <w:qFormat/>
    <w:uiPriority w:val="0"/>
    <w:pPr>
      <w:jc w:val="both"/>
    </w:pPr>
    <w:rPr>
      <w:rFonts w:eastAsia="Calibri"/>
      <w:sz w:val="20"/>
    </w:rPr>
  </w:style>
  <w:style w:type="paragraph" w:styleId="21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22">
    <w:name w:val="annotation text"/>
    <w:basedOn w:val="1"/>
    <w:link w:val="363"/>
    <w:semiHidden/>
    <w:qFormat/>
    <w:uiPriority w:val="0"/>
    <w:rPr>
      <w:rFonts w:eastAsia="Calibri"/>
      <w:sz w:val="20"/>
      <w:szCs w:val="20"/>
    </w:rPr>
  </w:style>
  <w:style w:type="paragraph" w:styleId="23">
    <w:name w:val="annotation subject"/>
    <w:basedOn w:val="22"/>
    <w:next w:val="22"/>
    <w:link w:val="364"/>
    <w:semiHidden/>
    <w:qFormat/>
    <w:uiPriority w:val="0"/>
    <w:rPr>
      <w:b/>
      <w:bCs/>
    </w:rPr>
  </w:style>
  <w:style w:type="paragraph" w:styleId="24">
    <w:name w:val="Document Map"/>
    <w:basedOn w:val="1"/>
    <w:link w:val="59"/>
    <w:qFormat/>
    <w:uiPriority w:val="99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25">
    <w:name w:val="header"/>
    <w:basedOn w:val="1"/>
    <w:link w:val="36"/>
    <w:unhideWhenUsed/>
    <w:qFormat/>
    <w:uiPriority w:val="0"/>
    <w:pPr>
      <w:tabs>
        <w:tab w:val="center" w:pos="4677"/>
        <w:tab w:val="right" w:pos="9355"/>
      </w:tabs>
    </w:pPr>
  </w:style>
  <w:style w:type="paragraph" w:styleId="26">
    <w:name w:val="Body Text"/>
    <w:basedOn w:val="1"/>
    <w:link w:val="56"/>
    <w:qFormat/>
    <w:uiPriority w:val="0"/>
    <w:rPr>
      <w:bCs/>
      <w:sz w:val="28"/>
      <w:szCs w:val="28"/>
    </w:rPr>
  </w:style>
  <w:style w:type="paragraph" w:styleId="27">
    <w:name w:val="Body Text Indent"/>
    <w:basedOn w:val="1"/>
    <w:link w:val="58"/>
    <w:qFormat/>
    <w:uiPriority w:val="0"/>
    <w:pPr>
      <w:spacing w:after="120"/>
      <w:ind w:left="283"/>
    </w:pPr>
  </w:style>
  <w:style w:type="paragraph" w:styleId="28">
    <w:name w:val="Title"/>
    <w:basedOn w:val="1"/>
    <w:link w:val="61"/>
    <w:qFormat/>
    <w:uiPriority w:val="10"/>
    <w:pPr>
      <w:jc w:val="center"/>
    </w:pPr>
    <w:rPr>
      <w:b/>
      <w:sz w:val="22"/>
      <w:szCs w:val="28"/>
    </w:rPr>
  </w:style>
  <w:style w:type="paragraph" w:styleId="29">
    <w:name w:val="footer"/>
    <w:basedOn w:val="1"/>
    <w:link w:val="37"/>
    <w:unhideWhenUsed/>
    <w:qFormat/>
    <w:uiPriority w:val="0"/>
    <w:pPr>
      <w:tabs>
        <w:tab w:val="center" w:pos="4677"/>
        <w:tab w:val="right" w:pos="9355"/>
      </w:tabs>
    </w:pPr>
  </w:style>
  <w:style w:type="paragraph" w:styleId="3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31">
    <w:name w:val="Body Text 3"/>
    <w:basedOn w:val="1"/>
    <w:link w:val="78"/>
    <w:unhideWhenUsed/>
    <w:qFormat/>
    <w:uiPriority w:val="0"/>
    <w:pPr>
      <w:spacing w:after="120"/>
    </w:pPr>
    <w:rPr>
      <w:sz w:val="16"/>
      <w:szCs w:val="16"/>
    </w:rPr>
  </w:style>
  <w:style w:type="paragraph" w:styleId="32">
    <w:name w:val="Body Text Indent 2"/>
    <w:basedOn w:val="1"/>
    <w:link w:val="62"/>
    <w:qFormat/>
    <w:uiPriority w:val="0"/>
    <w:pPr>
      <w:spacing w:after="120" w:line="480" w:lineRule="auto"/>
      <w:ind w:left="283"/>
    </w:pPr>
    <w:rPr>
      <w:rFonts w:eastAsia="SimSun"/>
      <w:lang w:eastAsia="zh-CN"/>
    </w:rPr>
  </w:style>
  <w:style w:type="paragraph" w:styleId="33">
    <w:name w:val="Subtitle"/>
    <w:basedOn w:val="1"/>
    <w:link w:val="70"/>
    <w:qFormat/>
    <w:uiPriority w:val="0"/>
    <w:pPr>
      <w:jc w:val="center"/>
    </w:pPr>
    <w:rPr>
      <w:b/>
      <w:bCs/>
    </w:rPr>
  </w:style>
  <w:style w:type="table" w:styleId="34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Текст выноски Знак"/>
    <w:basedOn w:val="10"/>
    <w:link w:val="19"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6">
    <w:name w:val="Верхний колонтитул Знак"/>
    <w:basedOn w:val="10"/>
    <w:link w:val="2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7">
    <w:name w:val="Нижний колонтитул Знак"/>
    <w:basedOn w:val="10"/>
    <w:link w:val="2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table" w:customStyle="1" w:styleId="39">
    <w:name w:val="Сетка таблицы2"/>
    <w:basedOn w:val="1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1"/>
    <w:basedOn w:val="1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1">
    <w:name w:val="List Paragraph"/>
    <w:basedOn w:val="1"/>
    <w:link w:val="73"/>
    <w:qFormat/>
    <w:uiPriority w:val="34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(3) + Курсив5"/>
    <w:qFormat/>
    <w:uiPriority w:val="0"/>
    <w:rPr>
      <w:rFonts w:cs="Times New Roman"/>
      <w:i/>
      <w:iCs/>
      <w:sz w:val="18"/>
      <w:szCs w:val="18"/>
      <w:lang w:bidi="ar-SA"/>
    </w:rPr>
  </w:style>
  <w:style w:type="table" w:customStyle="1" w:styleId="43">
    <w:name w:val="Сетка таблицы5"/>
    <w:basedOn w:val="1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4">
    <w:name w:val="No Spacing"/>
    <w:link w:val="45"/>
    <w:qFormat/>
    <w:uiPriority w:val="1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45">
    <w:name w:val="Без интервала Знак"/>
    <w:basedOn w:val="10"/>
    <w:link w:val="44"/>
    <w:qFormat/>
    <w:uiPriority w:val="0"/>
    <w:rPr>
      <w:rFonts w:ascii="Calibri" w:hAnsi="Calibri" w:eastAsia="Times New Roman" w:cs="Times New Roman"/>
    </w:rPr>
  </w:style>
  <w:style w:type="character" w:customStyle="1" w:styleId="46">
    <w:name w:val="Заголовок 1 Знак"/>
    <w:basedOn w:val="10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47">
    <w:name w:val="Заголовок 2 Знак"/>
    <w:basedOn w:val="10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48">
    <w:name w:val="Заголовок 3 Знак"/>
    <w:basedOn w:val="10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49">
    <w:name w:val="Заголовок 4 Знак"/>
    <w:basedOn w:val="10"/>
    <w:link w:val="5"/>
    <w:qFormat/>
    <w:uiPriority w:val="0"/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customStyle="1" w:styleId="50">
    <w:name w:val="Заголовок 5 Знак"/>
    <w:basedOn w:val="10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51">
    <w:name w:val="Заголовок 6 Знак"/>
    <w:basedOn w:val="10"/>
    <w:link w:val="7"/>
    <w:qFormat/>
    <w:uiPriority w:val="0"/>
    <w:rPr>
      <w:rFonts w:ascii="Times New Roman" w:hAnsi="Times New Roman" w:eastAsia="Times New Roman" w:cs="Times New Roman"/>
      <w:b/>
      <w:bCs/>
      <w:lang w:eastAsia="ru-RU"/>
    </w:rPr>
  </w:style>
  <w:style w:type="paragraph" w:customStyle="1" w:styleId="52">
    <w:name w:val="Default"/>
    <w:qFormat/>
    <w:uiPriority w:val="0"/>
    <w:pPr>
      <w:autoSpaceDE w:val="0"/>
      <w:autoSpaceDN w:val="0"/>
      <w:adjustRightInd w:val="0"/>
    </w:pPr>
    <w:rPr>
      <w:rFonts w:ascii="Cambria" w:hAnsi="Cambria" w:eastAsia="Times New Roman" w:cs="Cambria"/>
      <w:color w:val="000000"/>
      <w:sz w:val="24"/>
      <w:szCs w:val="24"/>
      <w:lang w:val="ru-RU" w:eastAsia="ru-RU" w:bidi="ar-SA"/>
    </w:rPr>
  </w:style>
  <w:style w:type="table" w:customStyle="1" w:styleId="53">
    <w:name w:val="Сетка таблицы3"/>
    <w:basedOn w:val="1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Сетка таблицы4"/>
    <w:basedOn w:val="1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Сетка таблицы6"/>
    <w:basedOn w:val="1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6">
    <w:name w:val="Основной текст Знак"/>
    <w:basedOn w:val="10"/>
    <w:link w:val="26"/>
    <w:qFormat/>
    <w:uiPriority w:val="0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table" w:customStyle="1" w:styleId="57">
    <w:name w:val="Сетка таблицы7"/>
    <w:basedOn w:val="1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Основной текст с отступом Знак"/>
    <w:basedOn w:val="10"/>
    <w:link w:val="2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9">
    <w:name w:val="Схема документа Знак"/>
    <w:basedOn w:val="10"/>
    <w:link w:val="24"/>
    <w:qFormat/>
    <w:uiPriority w:val="99"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character" w:customStyle="1" w:styleId="60">
    <w:name w:val="grame"/>
    <w:basedOn w:val="10"/>
    <w:qFormat/>
    <w:uiPriority w:val="0"/>
  </w:style>
  <w:style w:type="character" w:customStyle="1" w:styleId="61">
    <w:name w:val="Заголовок Знак"/>
    <w:basedOn w:val="10"/>
    <w:link w:val="28"/>
    <w:qFormat/>
    <w:uiPriority w:val="10"/>
    <w:rPr>
      <w:rFonts w:ascii="Times New Roman" w:hAnsi="Times New Roman" w:eastAsia="Times New Roman" w:cs="Times New Roman"/>
      <w:b/>
      <w:szCs w:val="28"/>
      <w:lang w:eastAsia="ru-RU"/>
    </w:rPr>
  </w:style>
  <w:style w:type="character" w:customStyle="1" w:styleId="62">
    <w:name w:val="Основной текст с отступом 2 Знак"/>
    <w:basedOn w:val="10"/>
    <w:link w:val="32"/>
    <w:qFormat/>
    <w:uiPriority w:val="0"/>
    <w:rPr>
      <w:rFonts w:ascii="Times New Roman" w:hAnsi="Times New Roman" w:eastAsia="SimSun" w:cs="Times New Roman"/>
      <w:sz w:val="24"/>
      <w:szCs w:val="24"/>
      <w:lang w:eastAsia="zh-CN"/>
    </w:rPr>
  </w:style>
  <w:style w:type="character" w:customStyle="1" w:styleId="63">
    <w:name w:val="Верхний колонтитул Знак1"/>
    <w:basedOn w:val="10"/>
    <w:semiHidden/>
    <w:qFormat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4">
    <w:name w:val="Нижний колонтитул Знак1"/>
    <w:basedOn w:val="10"/>
    <w:semiHidden/>
    <w:qFormat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5">
    <w:name w:val="Основной текст Знак1"/>
    <w:basedOn w:val="10"/>
    <w:semiHidden/>
    <w:qFormat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6">
    <w:name w:val="Основной текст с отступом Знак1"/>
    <w:basedOn w:val="10"/>
    <w:semiHidden/>
    <w:qFormat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7">
    <w:name w:val="Схема документа Знак1"/>
    <w:basedOn w:val="10"/>
    <w:semiHidden/>
    <w:qFormat/>
    <w:uiPriority w:val="99"/>
    <w:rPr>
      <w:rFonts w:hint="default" w:ascii="Tahoma" w:hAnsi="Tahoma" w:eastAsia="Times New Roman" w:cs="Tahoma"/>
      <w:sz w:val="16"/>
      <w:szCs w:val="16"/>
      <w:lang w:eastAsia="ru-RU"/>
    </w:rPr>
  </w:style>
  <w:style w:type="character" w:customStyle="1" w:styleId="68">
    <w:name w:val="Текст выноски Знак1"/>
    <w:basedOn w:val="10"/>
    <w:semiHidden/>
    <w:qFormat/>
    <w:uiPriority w:val="99"/>
    <w:rPr>
      <w:rFonts w:hint="default" w:ascii="Tahoma" w:hAnsi="Tahoma" w:eastAsia="Times New Roman" w:cs="Tahoma"/>
      <w:sz w:val="16"/>
      <w:szCs w:val="16"/>
      <w:lang w:eastAsia="ru-RU"/>
    </w:rPr>
  </w:style>
  <w:style w:type="paragraph" w:customStyle="1" w:styleId="69">
    <w:name w:val="a0-justify"/>
    <w:basedOn w:val="1"/>
    <w:qFormat/>
    <w:uiPriority w:val="0"/>
    <w:pPr>
      <w:spacing w:after="160"/>
      <w:jc w:val="both"/>
    </w:pPr>
  </w:style>
  <w:style w:type="character" w:customStyle="1" w:styleId="70">
    <w:name w:val="Подзаголовок Знак"/>
    <w:basedOn w:val="10"/>
    <w:link w:val="3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71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customStyle="1" w:styleId="72">
    <w:name w:val="Основной текст7"/>
    <w:qFormat/>
    <w:uiPriority w:val="0"/>
    <w:rPr>
      <w:rFonts w:hint="default" w:ascii="Times New Roman" w:hAnsi="Times New Roman" w:eastAsia="Times New Roman" w:cs="Times New Roman"/>
      <w:snapToGrid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3">
    <w:name w:val="Абзац списка Знак"/>
    <w:link w:val="41"/>
    <w:qFormat/>
    <w:locked/>
    <w:uiPriority w:val="34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74">
    <w:name w:val="Font Style24"/>
    <w:qFormat/>
    <w:uiPriority w:val="99"/>
    <w:rPr>
      <w:rFonts w:hint="default" w:ascii="Times New Roman" w:hAnsi="Times New Roman" w:cs="Times New Roman"/>
      <w:sz w:val="26"/>
      <w:szCs w:val="26"/>
    </w:rPr>
  </w:style>
  <w:style w:type="paragraph" w:customStyle="1" w:styleId="75">
    <w:name w:val="1"/>
    <w:basedOn w:val="1"/>
    <w:next w:val="30"/>
    <w:unhideWhenUsed/>
    <w:qFormat/>
    <w:uiPriority w:val="99"/>
    <w:pPr>
      <w:spacing w:before="100" w:beforeAutospacing="1" w:after="100" w:afterAutospacing="1"/>
    </w:pPr>
  </w:style>
  <w:style w:type="paragraph" w:customStyle="1" w:styleId="76">
    <w:name w:val="c15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c13"/>
    <w:qFormat/>
    <w:uiPriority w:val="0"/>
  </w:style>
  <w:style w:type="character" w:customStyle="1" w:styleId="78">
    <w:name w:val="Основной текст 3 Знак"/>
    <w:basedOn w:val="10"/>
    <w:link w:val="31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79">
    <w:name w:val="Заголовок 7 Знак"/>
    <w:basedOn w:val="10"/>
    <w:link w:val="8"/>
    <w:qFormat/>
    <w:uiPriority w:val="0"/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10"/>
    <w:link w:val="9"/>
    <w:qFormat/>
    <w:uiPriority w:val="0"/>
    <w:rPr>
      <w:rFonts w:ascii="Times New Roman" w:hAnsi="Times New Roman" w:eastAsia="Calibri" w:cs="Times New Roman"/>
      <w:i/>
      <w:iCs/>
      <w:sz w:val="24"/>
      <w:szCs w:val="24"/>
      <w:lang w:eastAsia="ru-RU"/>
    </w:rPr>
  </w:style>
  <w:style w:type="character" w:customStyle="1" w:styleId="81">
    <w:name w:val="Основной текст 2 Знак"/>
    <w:basedOn w:val="10"/>
    <w:link w:val="20"/>
    <w:semiHidden/>
    <w:qFormat/>
    <w:uiPriority w:val="0"/>
    <w:rPr>
      <w:rFonts w:ascii="Times New Roman" w:hAnsi="Times New Roman" w:eastAsia="Calibri" w:cs="Times New Roman"/>
      <w:sz w:val="20"/>
      <w:szCs w:val="24"/>
      <w:lang w:eastAsia="ru-RU"/>
    </w:rPr>
  </w:style>
  <w:style w:type="paragraph" w:customStyle="1" w:styleId="82">
    <w:name w:val="Без интервала1"/>
    <w:link w:val="83"/>
    <w:qFormat/>
    <w:uiPriority w:val="0"/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83">
    <w:name w:val="No Spacing Char"/>
    <w:link w:val="82"/>
    <w:qFormat/>
    <w:locked/>
    <w:uiPriority w:val="0"/>
    <w:rPr>
      <w:rFonts w:ascii="Times New Roman" w:hAnsi="Times New Roman" w:eastAsia="Times New Roman" w:cs="Times New Roman"/>
      <w:lang w:eastAsia="ru-RU"/>
    </w:rPr>
  </w:style>
  <w:style w:type="character" w:customStyle="1" w:styleId="84">
    <w:name w:val="List Paragraph Char"/>
    <w:qFormat/>
    <w:locked/>
    <w:uiPriority w:val="0"/>
    <w:rPr>
      <w:rFonts w:ascii="Calibri" w:hAnsi="Calibri" w:eastAsia="Times New Roman" w:cs="Times New Roman"/>
    </w:rPr>
  </w:style>
  <w:style w:type="paragraph" w:customStyle="1" w:styleId="85">
    <w:name w:val="Основной текст 31"/>
    <w:basedOn w:val="1"/>
    <w:qFormat/>
    <w:uiPriority w:val="0"/>
    <w:pPr>
      <w:suppressAutoHyphens/>
      <w:jc w:val="both"/>
    </w:pPr>
    <w:rPr>
      <w:rFonts w:eastAsia="Calibri"/>
      <w:sz w:val="28"/>
      <w:lang w:eastAsia="ar-SA"/>
    </w:rPr>
  </w:style>
  <w:style w:type="paragraph" w:customStyle="1" w:styleId="86">
    <w:name w:val="Знак"/>
    <w:basedOn w:val="1"/>
    <w:qFormat/>
    <w:uiPriority w:val="0"/>
    <w:pPr>
      <w:spacing w:after="160" w:line="240" w:lineRule="exact"/>
    </w:pPr>
    <w:rPr>
      <w:sz w:val="20"/>
      <w:szCs w:val="20"/>
      <w:lang w:eastAsia="zh-CN"/>
    </w:rPr>
  </w:style>
  <w:style w:type="character" w:customStyle="1" w:styleId="87">
    <w:name w:val="Font Style27"/>
    <w:qFormat/>
    <w:uiPriority w:val="0"/>
    <w:rPr>
      <w:rFonts w:ascii="Times New Roman" w:hAnsi="Times New Roman"/>
      <w:sz w:val="26"/>
    </w:rPr>
  </w:style>
  <w:style w:type="character" w:customStyle="1" w:styleId="88">
    <w:name w:val="Font Style23"/>
    <w:qFormat/>
    <w:uiPriority w:val="0"/>
    <w:rPr>
      <w:rFonts w:ascii="Times New Roman" w:hAnsi="Times New Roman"/>
      <w:sz w:val="30"/>
    </w:rPr>
  </w:style>
  <w:style w:type="character" w:customStyle="1" w:styleId="89">
    <w:name w:val="Заголовок №2"/>
    <w:qFormat/>
    <w:uiPriority w:val="0"/>
    <w:rPr>
      <w:rFonts w:ascii="Arial Narrow" w:hAnsi="Arial Narrow"/>
      <w:color w:val="FFFFFF"/>
      <w:spacing w:val="-10"/>
      <w:w w:val="100"/>
      <w:sz w:val="88"/>
    </w:rPr>
  </w:style>
  <w:style w:type="character" w:customStyle="1" w:styleId="90">
    <w:name w:val="Основной текст (8)"/>
    <w:qFormat/>
    <w:uiPriority w:val="0"/>
    <w:rPr>
      <w:rFonts w:ascii="Malgun Gothic" w:hAnsi="Malgun Gothic" w:eastAsia="Malgun Gothic"/>
      <w:spacing w:val="20"/>
      <w:w w:val="70"/>
      <w:sz w:val="35"/>
    </w:rPr>
  </w:style>
  <w:style w:type="paragraph" w:customStyle="1" w:styleId="91">
    <w:name w:val="font0"/>
    <w:basedOn w:val="1"/>
    <w:qFormat/>
    <w:uiPriority w:val="0"/>
    <w:pPr>
      <w:spacing w:before="100" w:beforeAutospacing="1" w:after="100" w:afterAutospacing="1"/>
    </w:pPr>
    <w:rPr>
      <w:rFonts w:ascii="Calibri" w:hAnsi="Calibri" w:eastAsia="Calibri"/>
      <w:color w:val="000000"/>
      <w:sz w:val="22"/>
      <w:szCs w:val="22"/>
    </w:rPr>
  </w:style>
  <w:style w:type="paragraph" w:customStyle="1" w:styleId="92">
    <w:name w:val="font5"/>
    <w:basedOn w:val="1"/>
    <w:qFormat/>
    <w:uiPriority w:val="0"/>
    <w:pPr>
      <w:spacing w:before="100" w:beforeAutospacing="1" w:after="100" w:afterAutospacing="1"/>
    </w:pPr>
    <w:rPr>
      <w:rFonts w:ascii="Calibri" w:hAnsi="Calibri" w:eastAsia="Calibri"/>
      <w:b/>
      <w:bCs/>
      <w:color w:val="000000"/>
      <w:sz w:val="22"/>
      <w:szCs w:val="22"/>
    </w:rPr>
  </w:style>
  <w:style w:type="paragraph" w:customStyle="1" w:styleId="93">
    <w:name w:val="font6"/>
    <w:basedOn w:val="1"/>
    <w:qFormat/>
    <w:uiPriority w:val="0"/>
    <w:pPr>
      <w:spacing w:before="100" w:beforeAutospacing="1" w:after="100" w:afterAutospacing="1"/>
    </w:pPr>
    <w:rPr>
      <w:rFonts w:ascii="Calibri" w:hAnsi="Calibri" w:eastAsia="Calibri"/>
      <w:i/>
      <w:iCs/>
      <w:color w:val="000000"/>
      <w:sz w:val="22"/>
      <w:szCs w:val="22"/>
    </w:rPr>
  </w:style>
  <w:style w:type="paragraph" w:customStyle="1" w:styleId="94">
    <w:name w:val="xl6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</w:rPr>
  </w:style>
  <w:style w:type="paragraph" w:customStyle="1" w:styleId="95">
    <w:name w:val="xl65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96">
    <w:name w:val="xl66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97">
    <w:name w:val="xl67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i/>
      <w:iCs/>
    </w:rPr>
  </w:style>
  <w:style w:type="paragraph" w:customStyle="1" w:styleId="98">
    <w:name w:val="xl68"/>
    <w:basedOn w:val="1"/>
    <w:qFormat/>
    <w:uiPriority w:val="0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99">
    <w:name w:val="xl69"/>
    <w:basedOn w:val="1"/>
    <w:qFormat/>
    <w:uiPriority w:val="0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00">
    <w:name w:val="xl70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top"/>
    </w:pPr>
    <w:rPr>
      <w:rFonts w:eastAsia="Calibri"/>
      <w:b/>
      <w:bCs/>
      <w:i/>
      <w:iCs/>
    </w:rPr>
  </w:style>
  <w:style w:type="paragraph" w:customStyle="1" w:styleId="101">
    <w:name w:val="xl7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102">
    <w:name w:val="xl72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i/>
      <w:iCs/>
    </w:rPr>
  </w:style>
  <w:style w:type="paragraph" w:customStyle="1" w:styleId="103">
    <w:name w:val="xl7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04">
    <w:name w:val="xl74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05">
    <w:name w:val="xl7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i/>
      <w:iCs/>
    </w:rPr>
  </w:style>
  <w:style w:type="paragraph" w:customStyle="1" w:styleId="106">
    <w:name w:val="xl76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i/>
      <w:iCs/>
    </w:rPr>
  </w:style>
  <w:style w:type="paragraph" w:customStyle="1" w:styleId="107">
    <w:name w:val="xl7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right"/>
      <w:textAlignment w:val="top"/>
    </w:pPr>
    <w:rPr>
      <w:rFonts w:eastAsia="Calibri"/>
      <w:b/>
      <w:bCs/>
      <w:i/>
      <w:iCs/>
    </w:rPr>
  </w:style>
  <w:style w:type="paragraph" w:customStyle="1" w:styleId="108">
    <w:name w:val="xl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09">
    <w:name w:val="xl7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i/>
      <w:iCs/>
    </w:rPr>
  </w:style>
  <w:style w:type="paragraph" w:customStyle="1" w:styleId="110">
    <w:name w:val="xl80"/>
    <w:basedOn w:val="1"/>
    <w:qFormat/>
    <w:uiPriority w:val="0"/>
    <w:pPr>
      <w:pBdr>
        <w:top w:val="single" w:color="auto" w:sz="4" w:space="0"/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11">
    <w:name w:val="xl81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i/>
      <w:iCs/>
    </w:rPr>
  </w:style>
  <w:style w:type="paragraph" w:customStyle="1" w:styleId="112">
    <w:name w:val="xl8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13">
    <w:name w:val="xl83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14">
    <w:name w:val="xl84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right"/>
      <w:textAlignment w:val="top"/>
    </w:pPr>
    <w:rPr>
      <w:rFonts w:eastAsia="Calibri"/>
      <w:b/>
      <w:bCs/>
      <w:i/>
      <w:iCs/>
    </w:rPr>
  </w:style>
  <w:style w:type="paragraph" w:customStyle="1" w:styleId="115">
    <w:name w:val="xl8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116">
    <w:name w:val="xl86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right"/>
      <w:textAlignment w:val="top"/>
    </w:pPr>
    <w:rPr>
      <w:rFonts w:eastAsia="Calibri"/>
      <w:b/>
      <w:bCs/>
    </w:rPr>
  </w:style>
  <w:style w:type="paragraph" w:customStyle="1" w:styleId="117">
    <w:name w:val="xl8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i/>
      <w:iCs/>
    </w:rPr>
  </w:style>
  <w:style w:type="paragraph" w:customStyle="1" w:styleId="118">
    <w:name w:val="xl8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119">
    <w:name w:val="xl89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120">
    <w:name w:val="xl90"/>
    <w:basedOn w:val="1"/>
    <w:qFormat/>
    <w:uiPriority w:val="0"/>
    <w:pPr>
      <w:spacing w:before="100" w:beforeAutospacing="1" w:after="100" w:afterAutospacing="1"/>
      <w:textAlignment w:val="top"/>
    </w:pPr>
    <w:rPr>
      <w:rFonts w:eastAsia="Calibri"/>
      <w:b/>
      <w:bCs/>
    </w:rPr>
  </w:style>
  <w:style w:type="paragraph" w:customStyle="1" w:styleId="121">
    <w:name w:val="xl91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122">
    <w:name w:val="xl92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top"/>
    </w:pPr>
    <w:rPr>
      <w:rFonts w:eastAsia="Calibri"/>
      <w:b/>
      <w:bCs/>
    </w:rPr>
  </w:style>
  <w:style w:type="paragraph" w:customStyle="1" w:styleId="123">
    <w:name w:val="xl93"/>
    <w:basedOn w:val="1"/>
    <w:qFormat/>
    <w:uiPriority w:val="0"/>
    <w:pPr>
      <w:spacing w:before="100" w:beforeAutospacing="1" w:after="100" w:afterAutospacing="1"/>
      <w:textAlignment w:val="top"/>
    </w:pPr>
    <w:rPr>
      <w:rFonts w:eastAsia="Calibri"/>
      <w:b/>
      <w:bCs/>
    </w:rPr>
  </w:style>
  <w:style w:type="paragraph" w:customStyle="1" w:styleId="124">
    <w:name w:val="xl94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125">
    <w:name w:val="xl95"/>
    <w:basedOn w:val="1"/>
    <w:qFormat/>
    <w:uiPriority w:val="0"/>
    <w:pPr>
      <w:pBdr>
        <w:top w:val="single" w:color="auto" w:sz="8" w:space="0"/>
      </w:pBdr>
      <w:spacing w:before="100" w:beforeAutospacing="1" w:after="100" w:afterAutospacing="1"/>
      <w:textAlignment w:val="top"/>
    </w:pPr>
    <w:rPr>
      <w:rFonts w:eastAsia="Calibri"/>
      <w:b/>
      <w:bCs/>
    </w:rPr>
  </w:style>
  <w:style w:type="paragraph" w:customStyle="1" w:styleId="126">
    <w:name w:val="xl96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i/>
      <w:iCs/>
    </w:rPr>
  </w:style>
  <w:style w:type="paragraph" w:customStyle="1" w:styleId="127">
    <w:name w:val="xl97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textAlignment w:val="top"/>
    </w:pPr>
    <w:rPr>
      <w:rFonts w:eastAsia="Calibri"/>
      <w:b/>
      <w:bCs/>
    </w:rPr>
  </w:style>
  <w:style w:type="paragraph" w:customStyle="1" w:styleId="128">
    <w:name w:val="xl9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</w:rPr>
  </w:style>
  <w:style w:type="paragraph" w:customStyle="1" w:styleId="129">
    <w:name w:val="xl99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both"/>
      <w:textAlignment w:val="top"/>
    </w:pPr>
    <w:rPr>
      <w:rFonts w:eastAsia="Calibri"/>
      <w:b/>
      <w:bCs/>
    </w:rPr>
  </w:style>
  <w:style w:type="paragraph" w:customStyle="1" w:styleId="130">
    <w:name w:val="xl100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both"/>
      <w:textAlignment w:val="top"/>
    </w:pPr>
    <w:rPr>
      <w:rFonts w:eastAsia="Calibri"/>
      <w:b/>
      <w:bCs/>
    </w:rPr>
  </w:style>
  <w:style w:type="paragraph" w:customStyle="1" w:styleId="131">
    <w:name w:val="xl101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132">
    <w:name w:val="xl102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133">
    <w:name w:val="xl10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both"/>
      <w:textAlignment w:val="top"/>
    </w:pPr>
    <w:rPr>
      <w:rFonts w:eastAsia="Calibri"/>
      <w:b/>
      <w:bCs/>
    </w:rPr>
  </w:style>
  <w:style w:type="paragraph" w:customStyle="1" w:styleId="134">
    <w:name w:val="xl104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both"/>
      <w:textAlignment w:val="top"/>
    </w:pPr>
    <w:rPr>
      <w:rFonts w:eastAsia="Calibri"/>
      <w:b/>
      <w:bCs/>
    </w:rPr>
  </w:style>
  <w:style w:type="paragraph" w:customStyle="1" w:styleId="135">
    <w:name w:val="xl105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36">
    <w:name w:val="xl106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37">
    <w:name w:val="xl10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38">
    <w:name w:val="xl10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139">
    <w:name w:val="xl10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both"/>
      <w:textAlignment w:val="top"/>
    </w:pPr>
    <w:rPr>
      <w:rFonts w:eastAsia="Calibri"/>
      <w:b/>
      <w:bCs/>
    </w:rPr>
  </w:style>
  <w:style w:type="paragraph" w:customStyle="1" w:styleId="140">
    <w:name w:val="xl110"/>
    <w:basedOn w:val="1"/>
    <w:qFormat/>
    <w:uiPriority w:val="0"/>
    <w:pPr>
      <w:pBdr>
        <w:top w:val="single" w:color="auto" w:sz="8" w:space="0"/>
        <w:bottom w:val="single" w:color="auto" w:sz="4" w:space="0"/>
      </w:pBdr>
      <w:shd w:val="clear" w:color="000000" w:fill="DBEEF3"/>
      <w:spacing w:before="100" w:beforeAutospacing="1" w:after="100" w:afterAutospacing="1"/>
      <w:textAlignment w:val="top"/>
    </w:pPr>
    <w:rPr>
      <w:rFonts w:eastAsia="Calibri"/>
      <w:b/>
      <w:bCs/>
    </w:rPr>
  </w:style>
  <w:style w:type="paragraph" w:customStyle="1" w:styleId="141">
    <w:name w:val="xl11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  <w:textAlignment w:val="top"/>
    </w:pPr>
    <w:rPr>
      <w:rFonts w:eastAsia="Calibri"/>
      <w:b/>
      <w:bCs/>
    </w:rPr>
  </w:style>
  <w:style w:type="paragraph" w:customStyle="1" w:styleId="142">
    <w:name w:val="xl11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143">
    <w:name w:val="xl113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8"/>
      <w:szCs w:val="28"/>
    </w:rPr>
  </w:style>
  <w:style w:type="paragraph" w:customStyle="1" w:styleId="144">
    <w:name w:val="xl114"/>
    <w:basedOn w:val="1"/>
    <w:qFormat/>
    <w:uiPriority w:val="0"/>
    <w:pPr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8"/>
      <w:szCs w:val="28"/>
    </w:rPr>
  </w:style>
  <w:style w:type="paragraph" w:customStyle="1" w:styleId="145">
    <w:name w:val="xl115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8"/>
      <w:szCs w:val="28"/>
    </w:rPr>
  </w:style>
  <w:style w:type="paragraph" w:customStyle="1" w:styleId="146">
    <w:name w:val="xl116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47">
    <w:name w:val="xl11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48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49">
    <w:name w:val="xl11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0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1">
    <w:name w:val="xl121"/>
    <w:basedOn w:val="1"/>
    <w:qFormat/>
    <w:uiPriority w:val="0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2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3">
    <w:name w:val="xl12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4">
    <w:name w:val="xl12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5">
    <w:name w:val="xl12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6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7">
    <w:name w:val="xl127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8">
    <w:name w:val="xl12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159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0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1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2">
    <w:name w:val="xl13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3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4">
    <w:name w:val="xl134"/>
    <w:basedOn w:val="1"/>
    <w:qFormat/>
    <w:uiPriority w:val="0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5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6">
    <w:name w:val="xl13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7">
    <w:name w:val="xl137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8">
    <w:name w:val="xl138"/>
    <w:basedOn w:val="1"/>
    <w:qFormat/>
    <w:uiPriority w:val="0"/>
    <w:pPr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69">
    <w:name w:val="xl13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0">
    <w:name w:val="xl140"/>
    <w:basedOn w:val="1"/>
    <w:qFormat/>
    <w:uiPriority w:val="0"/>
    <w:pPr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1">
    <w:name w:val="xl141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4" w:space="0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2">
    <w:name w:val="xl142"/>
    <w:basedOn w:val="1"/>
    <w:qFormat/>
    <w:uiPriority w:val="0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3">
    <w:name w:val="xl143"/>
    <w:basedOn w:val="1"/>
    <w:qFormat/>
    <w:uiPriority w:val="0"/>
    <w:pPr>
      <w:pBdr>
        <w:top w:val="single" w:color="auto" w:sz="8" w:space="0"/>
        <w:left w:val="single" w:color="auto" w:sz="4" w:space="0"/>
        <w:right w:val="single" w:color="auto" w:sz="8" w:space="0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4">
    <w:name w:val="xl14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5">
    <w:name w:val="xl145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top"/>
    </w:pPr>
    <w:rPr>
      <w:rFonts w:eastAsia="Calibri"/>
      <w:b/>
      <w:bCs/>
    </w:rPr>
  </w:style>
  <w:style w:type="paragraph" w:customStyle="1" w:styleId="176">
    <w:name w:val="xl146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7">
    <w:name w:val="xl147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8">
    <w:name w:val="xl14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79">
    <w:name w:val="xl14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80">
    <w:name w:val="xl1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81">
    <w:name w:val="xl1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82">
    <w:name w:val="xl15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83">
    <w:name w:val="xl1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84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85">
    <w:name w:val="xl1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86">
    <w:name w:val="xl1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87">
    <w:name w:val="xl15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88">
    <w:name w:val="xl15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89">
    <w:name w:val="xl15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90">
    <w:name w:val="xl160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91">
    <w:name w:val="xl161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92">
    <w:name w:val="xl162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93">
    <w:name w:val="xl1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94">
    <w:name w:val="xl1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95">
    <w:name w:val="xl1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196">
    <w:name w:val="xl16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97">
    <w:name w:val="xl16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98">
    <w:name w:val="xl16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199">
    <w:name w:val="xl1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0">
    <w:name w:val="xl170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1">
    <w:name w:val="xl17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2">
    <w:name w:val="xl17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3">
    <w:name w:val="xl17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4">
    <w:name w:val="xl17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5">
    <w:name w:val="xl17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6">
    <w:name w:val="xl1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7">
    <w:name w:val="xl1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8">
    <w:name w:val="xl1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09">
    <w:name w:val="xl1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10">
    <w:name w:val="xl1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11">
    <w:name w:val="xl18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12">
    <w:name w:val="xl1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13">
    <w:name w:val="xl18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14">
    <w:name w:val="xl184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15">
    <w:name w:val="xl185"/>
    <w:basedOn w:val="1"/>
    <w:qFormat/>
    <w:uiPriority w:val="0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216">
    <w:name w:val="xl186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17">
    <w:name w:val="xl187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18">
    <w:name w:val="xl18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</w:rPr>
  </w:style>
  <w:style w:type="paragraph" w:customStyle="1" w:styleId="219">
    <w:name w:val="xl1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20">
    <w:name w:val="xl19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21">
    <w:name w:val="xl1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222">
    <w:name w:val="xl1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23">
    <w:name w:val="xl19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24">
    <w:name w:val="xl1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25">
    <w:name w:val="xl1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226">
    <w:name w:val="xl1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27">
    <w:name w:val="xl197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</w:rPr>
  </w:style>
  <w:style w:type="paragraph" w:customStyle="1" w:styleId="228">
    <w:name w:val="xl19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29">
    <w:name w:val="xl1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30">
    <w:name w:val="xl2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31">
    <w:name w:val="xl2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32">
    <w:name w:val="xl20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33">
    <w:name w:val="xl2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34">
    <w:name w:val="xl2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35">
    <w:name w:val="xl205"/>
    <w:basedOn w:val="1"/>
    <w:qFormat/>
    <w:uiPriority w:val="0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36">
    <w:name w:val="xl20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37">
    <w:name w:val="xl20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238">
    <w:name w:val="xl20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39">
    <w:name w:val="xl20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40">
    <w:name w:val="xl210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41">
    <w:name w:val="xl211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42">
    <w:name w:val="xl212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43">
    <w:name w:val="xl21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44">
    <w:name w:val="xl214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45">
    <w:name w:val="xl2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46">
    <w:name w:val="xl2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47">
    <w:name w:val="xl2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48">
    <w:name w:val="xl2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49">
    <w:name w:val="xl21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50">
    <w:name w:val="xl22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</w:rPr>
  </w:style>
  <w:style w:type="paragraph" w:customStyle="1" w:styleId="251">
    <w:name w:val="xl22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52">
    <w:name w:val="xl22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53">
    <w:name w:val="xl2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54">
    <w:name w:val="xl2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55">
    <w:name w:val="xl22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56">
    <w:name w:val="xl2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57">
    <w:name w:val="xl227"/>
    <w:basedOn w:val="1"/>
    <w:qFormat/>
    <w:uiPriority w:val="0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58">
    <w:name w:val="xl22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59">
    <w:name w:val="xl22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0">
    <w:name w:val="xl230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1">
    <w:name w:val="xl23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2">
    <w:name w:val="xl2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3">
    <w:name w:val="xl23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4">
    <w:name w:val="xl2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5">
    <w:name w:val="xl2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6">
    <w:name w:val="xl236"/>
    <w:basedOn w:val="1"/>
    <w:qFormat/>
    <w:uiPriority w:val="0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7">
    <w:name w:val="xl23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8">
    <w:name w:val="xl23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69">
    <w:name w:val="xl239"/>
    <w:basedOn w:val="1"/>
    <w:qFormat/>
    <w:uiPriority w:val="0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70">
    <w:name w:val="xl24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71">
    <w:name w:val="xl241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72">
    <w:name w:val="xl2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73">
    <w:name w:val="xl2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74">
    <w:name w:val="xl244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75">
    <w:name w:val="xl24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276">
    <w:name w:val="xl2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77">
    <w:name w:val="xl2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78">
    <w:name w:val="xl2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79">
    <w:name w:val="xl24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0">
    <w:name w:val="xl25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1">
    <w:name w:val="xl251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2">
    <w:name w:val="xl25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3">
    <w:name w:val="xl25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4">
    <w:name w:val="xl254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5">
    <w:name w:val="xl25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6">
    <w:name w:val="xl256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7">
    <w:name w:val="xl257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8">
    <w:name w:val="xl25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89">
    <w:name w:val="xl2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0">
    <w:name w:val="xl26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1">
    <w:name w:val="xl261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2">
    <w:name w:val="xl26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3">
    <w:name w:val="xl26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4">
    <w:name w:val="xl264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5">
    <w:name w:val="xl26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6">
    <w:name w:val="xl266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7">
    <w:name w:val="xl26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8">
    <w:name w:val="xl26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299">
    <w:name w:val="xl26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300">
    <w:name w:val="xl270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301">
    <w:name w:val="xl271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302">
    <w:name w:val="xl272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03">
    <w:name w:val="xl27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04">
    <w:name w:val="xl27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05">
    <w:name w:val="xl275"/>
    <w:basedOn w:val="1"/>
    <w:qFormat/>
    <w:uiPriority w:val="0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306">
    <w:name w:val="xl276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07">
    <w:name w:val="xl27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308">
    <w:name w:val="xl278"/>
    <w:basedOn w:val="1"/>
    <w:qFormat/>
    <w:uiPriority w:val="0"/>
    <w:pPr>
      <w:shd w:val="clear" w:color="000000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309">
    <w:name w:val="xl27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10">
    <w:name w:val="xl280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11">
    <w:name w:val="xl28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12">
    <w:name w:val="xl28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13">
    <w:name w:val="xl283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14">
    <w:name w:val="xl284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315">
    <w:name w:val="xl28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316">
    <w:name w:val="xl286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17">
    <w:name w:val="xl287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18">
    <w:name w:val="xl28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19">
    <w:name w:val="xl289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0">
    <w:name w:val="xl290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321">
    <w:name w:val="xl291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2">
    <w:name w:val="xl29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3">
    <w:name w:val="xl29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4">
    <w:name w:val="xl29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5">
    <w:name w:val="xl295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6">
    <w:name w:val="xl296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7">
    <w:name w:val="xl297"/>
    <w:basedOn w:val="1"/>
    <w:qFormat/>
    <w:uiPriority w:val="0"/>
    <w:pPr>
      <w:pBdr>
        <w:top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8">
    <w:name w:val="xl298"/>
    <w:basedOn w:val="1"/>
    <w:qFormat/>
    <w:uiPriority w:val="0"/>
    <w:pPr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29">
    <w:name w:val="xl29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30">
    <w:name w:val="xl300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31">
    <w:name w:val="xl301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32">
    <w:name w:val="xl30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333">
    <w:name w:val="xl303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334">
    <w:name w:val="xl304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335">
    <w:name w:val="xl305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336">
    <w:name w:val="xl306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37">
    <w:name w:val="xl307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38">
    <w:name w:val="xl30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39">
    <w:name w:val="xl309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40">
    <w:name w:val="xl310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41">
    <w:name w:val="xl311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</w:pPr>
    <w:rPr>
      <w:rFonts w:eastAsia="Calibri"/>
    </w:rPr>
  </w:style>
  <w:style w:type="paragraph" w:customStyle="1" w:styleId="342">
    <w:name w:val="xl312"/>
    <w:basedOn w:val="1"/>
    <w:qFormat/>
    <w:uiPriority w:val="0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eastAsia="Calibri"/>
    </w:rPr>
  </w:style>
  <w:style w:type="paragraph" w:customStyle="1" w:styleId="343">
    <w:name w:val="xl313"/>
    <w:basedOn w:val="1"/>
    <w:qFormat/>
    <w:uiPriority w:val="0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1" w:after="100" w:afterAutospacing="1"/>
    </w:pPr>
    <w:rPr>
      <w:rFonts w:eastAsia="Calibri"/>
    </w:rPr>
  </w:style>
  <w:style w:type="paragraph" w:customStyle="1" w:styleId="344">
    <w:name w:val="xl31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345">
    <w:name w:val="xl315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46">
    <w:name w:val="xl316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347">
    <w:name w:val="xl2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Zurich Ex BT" w:hAnsi="Zurich Ex BT"/>
    </w:rPr>
  </w:style>
  <w:style w:type="character" w:customStyle="1" w:styleId="348">
    <w:name w:val="Основной текст (2) + 10"/>
    <w:uiPriority w:val="0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349">
    <w:name w:val="Основной текст (2) + Century Gothic"/>
    <w:uiPriority w:val="0"/>
    <w:rPr>
      <w:rFonts w:ascii="Century Gothic" w:hAnsi="Century Gothic" w:cs="Century Gothic"/>
      <w:b/>
      <w:bCs/>
      <w:i/>
      <w:iCs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350">
    <w:name w:val="Основной текст (2) + 9 pt"/>
    <w:qFormat/>
    <w:uiPriority w:val="0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351">
    <w:name w:val="Основной текст (2)_"/>
    <w:link w:val="352"/>
    <w:qFormat/>
    <w:locked/>
    <w:uiPriority w:val="0"/>
    <w:rPr>
      <w:rFonts w:cs="Times New Roman"/>
      <w:sz w:val="30"/>
      <w:szCs w:val="30"/>
      <w:shd w:val="clear" w:color="auto" w:fill="FFFFFF"/>
    </w:rPr>
  </w:style>
  <w:style w:type="paragraph" w:customStyle="1" w:styleId="352">
    <w:name w:val="Основной текст (2)"/>
    <w:basedOn w:val="1"/>
    <w:link w:val="351"/>
    <w:qFormat/>
    <w:uiPriority w:val="0"/>
    <w:pPr>
      <w:shd w:val="clear" w:color="auto" w:fill="FFFFFF"/>
      <w:spacing w:after="60" w:line="331" w:lineRule="exact"/>
      <w:jc w:val="center"/>
    </w:pPr>
    <w:rPr>
      <w:rFonts w:asciiTheme="minorHAnsi" w:hAnsiTheme="minorHAnsi" w:eastAsiaTheme="minorHAnsi"/>
      <w:sz w:val="30"/>
      <w:szCs w:val="30"/>
      <w:shd w:val="clear" w:color="auto" w:fill="FFFFFF"/>
      <w:lang w:eastAsia="en-US"/>
    </w:rPr>
  </w:style>
  <w:style w:type="character" w:customStyle="1" w:styleId="353">
    <w:name w:val="Font Style17"/>
    <w:qFormat/>
    <w:uiPriority w:val="0"/>
    <w:rPr>
      <w:rFonts w:ascii="Times New Roman" w:hAnsi="Times New Roman" w:cs="Times New Roman"/>
      <w:sz w:val="30"/>
      <w:szCs w:val="30"/>
    </w:rPr>
  </w:style>
  <w:style w:type="character" w:customStyle="1" w:styleId="354">
    <w:name w:val="Знак Знак11"/>
    <w:qFormat/>
    <w:uiPriority w:val="0"/>
    <w:rPr>
      <w:rFonts w:ascii="Times New Roman" w:hAnsi="Times New Roman" w:eastAsia="Arial Unicode MS" w:cs="Times New Roman"/>
      <w:b/>
      <w:bCs/>
      <w:sz w:val="24"/>
      <w:szCs w:val="24"/>
      <w:lang w:eastAsia="ru-RU"/>
    </w:rPr>
  </w:style>
  <w:style w:type="paragraph" w:customStyle="1" w:styleId="355">
    <w:name w:val="Style3"/>
    <w:basedOn w:val="1"/>
    <w:qFormat/>
    <w:uiPriority w:val="0"/>
    <w:pPr>
      <w:widowControl w:val="0"/>
      <w:autoSpaceDE w:val="0"/>
      <w:autoSpaceDN w:val="0"/>
      <w:adjustRightInd w:val="0"/>
      <w:spacing w:line="347" w:lineRule="exact"/>
      <w:ind w:firstLine="701"/>
      <w:jc w:val="both"/>
    </w:pPr>
    <w:rPr>
      <w:rFonts w:ascii="Calibri" w:hAnsi="Calibri" w:cs="Calibri"/>
    </w:rPr>
  </w:style>
  <w:style w:type="character" w:customStyle="1" w:styleId="356">
    <w:name w:val="Font Style93"/>
    <w:uiPriority w:val="0"/>
    <w:rPr>
      <w:rFonts w:ascii="Times New Roman" w:hAnsi="Times New Roman"/>
      <w:b/>
      <w:sz w:val="28"/>
    </w:rPr>
  </w:style>
  <w:style w:type="character" w:customStyle="1" w:styleId="357">
    <w:name w:val="Основной текст (40)_"/>
    <w:link w:val="358"/>
    <w:locked/>
    <w:uiPriority w:val="0"/>
    <w:rPr>
      <w:rFonts w:cs="Times New Roman"/>
      <w:sz w:val="18"/>
      <w:szCs w:val="18"/>
      <w:shd w:val="clear" w:color="auto" w:fill="FFFFFF"/>
    </w:rPr>
  </w:style>
  <w:style w:type="paragraph" w:customStyle="1" w:styleId="358">
    <w:name w:val="Основной текст (40)"/>
    <w:basedOn w:val="1"/>
    <w:link w:val="357"/>
    <w:uiPriority w:val="0"/>
    <w:pPr>
      <w:shd w:val="clear" w:color="auto" w:fill="FFFFFF"/>
      <w:spacing w:line="226" w:lineRule="exact"/>
      <w:jc w:val="both"/>
    </w:pPr>
    <w:rPr>
      <w:rFonts w:asciiTheme="minorHAnsi" w:hAnsiTheme="minorHAnsi" w:eastAsiaTheme="minorHAnsi"/>
      <w:sz w:val="18"/>
      <w:szCs w:val="18"/>
      <w:lang w:eastAsia="en-US"/>
    </w:rPr>
  </w:style>
  <w:style w:type="character" w:customStyle="1" w:styleId="359">
    <w:name w:val="Основной текст (2) + Интервал 1 pt"/>
    <w:uiPriority w:val="0"/>
    <w:rPr>
      <w:rFonts w:ascii="Times New Roman" w:hAnsi="Times New Roman" w:cs="Times New Roman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ar-SA"/>
    </w:rPr>
  </w:style>
  <w:style w:type="character" w:customStyle="1" w:styleId="360">
    <w:name w:val="Основной текст (3)_"/>
    <w:link w:val="361"/>
    <w:locked/>
    <w:uiPriority w:val="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361">
    <w:name w:val="Основной текст (3)"/>
    <w:basedOn w:val="1"/>
    <w:link w:val="360"/>
    <w:uiPriority w:val="0"/>
    <w:pPr>
      <w:widowControl w:val="0"/>
      <w:shd w:val="clear" w:color="auto" w:fill="FFFFFF"/>
      <w:spacing w:before="300" w:line="302" w:lineRule="exact"/>
    </w:pPr>
    <w:rPr>
      <w:rFonts w:asciiTheme="minorHAnsi" w:hAnsiTheme="minorHAnsi" w:eastAsiaTheme="minorHAnsi"/>
      <w:b/>
      <w:bCs/>
      <w:sz w:val="26"/>
      <w:szCs w:val="26"/>
      <w:shd w:val="clear" w:color="auto" w:fill="FFFFFF"/>
      <w:lang w:eastAsia="en-US"/>
    </w:rPr>
  </w:style>
  <w:style w:type="character" w:customStyle="1" w:styleId="362">
    <w:name w:val="Основной текст (3) + Курсив"/>
    <w:uiPriority w:val="0"/>
    <w:rPr>
      <w:i/>
      <w:iCs/>
      <w:sz w:val="18"/>
      <w:szCs w:val="18"/>
      <w:lang w:bidi="ar-SA"/>
    </w:rPr>
  </w:style>
  <w:style w:type="character" w:customStyle="1" w:styleId="363">
    <w:name w:val="Текст примечания Знак"/>
    <w:basedOn w:val="10"/>
    <w:link w:val="22"/>
    <w:semiHidden/>
    <w:uiPriority w:val="0"/>
    <w:rPr>
      <w:rFonts w:ascii="Times New Roman" w:hAnsi="Times New Roman" w:eastAsia="Calibri" w:cs="Times New Roman"/>
      <w:sz w:val="20"/>
      <w:szCs w:val="20"/>
      <w:lang w:eastAsia="ru-RU"/>
    </w:rPr>
  </w:style>
  <w:style w:type="character" w:customStyle="1" w:styleId="364">
    <w:name w:val="Тема примечания Знак"/>
    <w:basedOn w:val="363"/>
    <w:link w:val="23"/>
    <w:semiHidden/>
    <w:uiPriority w:val="0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customStyle="1" w:styleId="365">
    <w:name w:val="Font Style12"/>
    <w:uiPriority w:val="0"/>
    <w:rPr>
      <w:rFonts w:hint="default" w:ascii="Times New Roman" w:hAnsi="Times New Roman" w:cs="Times New Roman"/>
      <w:sz w:val="22"/>
      <w:szCs w:val="22"/>
    </w:rPr>
  </w:style>
  <w:style w:type="paragraph" w:customStyle="1" w:styleId="366">
    <w:name w:val="phead"/>
    <w:basedOn w:val="1"/>
    <w:uiPriority w:val="0"/>
    <w:pPr>
      <w:spacing w:before="100" w:beforeAutospacing="1" w:after="100" w:afterAutospacing="1"/>
    </w:pPr>
    <w:rPr>
      <w:rFonts w:ascii="Garamond" w:hAnsi="Garamond" w:eastAsia="Calibri" w:cs="Arial"/>
      <w:color w:val="2C5279"/>
    </w:rPr>
  </w:style>
  <w:style w:type="character" w:customStyle="1" w:styleId="367">
    <w:name w:val="Знак Знак"/>
    <w:locked/>
    <w:uiPriority w:val="0"/>
    <w:rPr>
      <w:rFonts w:eastAsia="Calibri"/>
      <w:sz w:val="24"/>
      <w:szCs w:val="24"/>
      <w:lang w:val="ru-RU" w:eastAsia="ru-RU" w:bidi="ar-SA"/>
    </w:rPr>
  </w:style>
  <w:style w:type="character" w:customStyle="1" w:styleId="368">
    <w:name w:val="Знак Знак6"/>
    <w:locked/>
    <w:uiPriority w:val="0"/>
    <w:rPr>
      <w:rFonts w:eastAsia="Calibri"/>
      <w:sz w:val="28"/>
      <w:szCs w:val="24"/>
      <w:lang w:val="ru-RU" w:eastAsia="ru-RU" w:bidi="ar-SA"/>
    </w:rPr>
  </w:style>
  <w:style w:type="character" w:customStyle="1" w:styleId="369">
    <w:name w:val="Знак Знак7"/>
    <w:locked/>
    <w:uiPriority w:val="0"/>
    <w:rPr>
      <w:rFonts w:eastAsia="Calibri"/>
      <w:sz w:val="24"/>
      <w:szCs w:val="24"/>
      <w:lang w:val="ru-RU" w:eastAsia="ru-RU" w:bidi="ar-SA"/>
    </w:rPr>
  </w:style>
  <w:style w:type="paragraph" w:customStyle="1" w:styleId="370">
    <w:name w:val="underpoint"/>
    <w:basedOn w:val="1"/>
    <w:uiPriority w:val="0"/>
    <w:pPr>
      <w:ind w:firstLine="567"/>
      <w:jc w:val="both"/>
    </w:pPr>
    <w:rPr>
      <w:rFonts w:eastAsia="Calibri"/>
    </w:rPr>
  </w:style>
  <w:style w:type="character" w:customStyle="1" w:styleId="371">
    <w:name w:val="Основной текст (3) + Курсив4"/>
    <w:uiPriority w:val="0"/>
    <w:rPr>
      <w:rFonts w:cs="Times New Roman"/>
      <w:i/>
      <w:iCs/>
      <w:sz w:val="18"/>
      <w:szCs w:val="18"/>
      <w:lang w:bidi="ar-SA"/>
    </w:rPr>
  </w:style>
  <w:style w:type="paragraph" w:customStyle="1" w:styleId="372">
    <w:name w:val="Обычный (веб)1"/>
    <w:basedOn w:val="1"/>
    <w:uiPriority w:val="0"/>
    <w:pPr>
      <w:suppressAutoHyphens/>
      <w:spacing w:before="280" w:after="280"/>
    </w:pPr>
    <w:rPr>
      <w:lang w:eastAsia="zh-CN"/>
    </w:rPr>
  </w:style>
  <w:style w:type="character" w:customStyle="1" w:styleId="373">
    <w:name w:val="Основной текст_"/>
    <w:link w:val="374"/>
    <w:locked/>
    <w:uiPriority w:val="0"/>
    <w:rPr>
      <w:sz w:val="23"/>
      <w:szCs w:val="23"/>
      <w:shd w:val="clear" w:color="auto" w:fill="FFFFFF"/>
    </w:rPr>
  </w:style>
  <w:style w:type="paragraph" w:customStyle="1" w:styleId="374">
    <w:name w:val="Основной текст1"/>
    <w:basedOn w:val="1"/>
    <w:link w:val="373"/>
    <w:uiPriority w:val="0"/>
    <w:pPr>
      <w:shd w:val="clear" w:color="auto" w:fill="FFFFFF"/>
      <w:spacing w:line="240" w:lineRule="atLeast"/>
    </w:pPr>
    <w:rPr>
      <w:rFonts w:asciiTheme="minorHAnsi" w:hAnsiTheme="minorHAnsi" w:eastAsiaTheme="minorHAnsi" w:cstheme="minorBidi"/>
      <w:sz w:val="23"/>
      <w:szCs w:val="23"/>
      <w:shd w:val="clear" w:color="auto" w:fill="FFFFFF"/>
      <w:lang w:eastAsia="en-US"/>
    </w:rPr>
  </w:style>
  <w:style w:type="character" w:customStyle="1" w:styleId="375">
    <w:name w:val="Body Text 3 Char"/>
    <w:locked/>
    <w:uiPriority w:val="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76">
    <w:name w:val="Заголовок Знак1"/>
    <w:basedOn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377">
    <w:name w:val="Font Style29"/>
    <w:uiPriority w:val="99"/>
    <w:rPr>
      <w:rFonts w:hint="default" w:ascii="Times New Roman" w:hAnsi="Times New Roman" w:cs="Times New Roman"/>
      <w:sz w:val="28"/>
      <w:szCs w:val="28"/>
    </w:rPr>
  </w:style>
  <w:style w:type="paragraph" w:customStyle="1" w:styleId="378">
    <w:name w:val="bvi-speech"/>
    <w:basedOn w:val="1"/>
    <w:uiPriority w:val="0"/>
    <w:pPr>
      <w:spacing w:before="100" w:beforeAutospacing="1" w:after="100" w:afterAutospacing="1"/>
    </w:pPr>
    <w:rPr>
      <w14:ligatures w14:val="standardContextual"/>
    </w:rPr>
  </w:style>
  <w:style w:type="character" w:customStyle="1" w:styleId="379">
    <w:name w:val="vkekvd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0" Type="http://schemas.openxmlformats.org/officeDocument/2006/relationships/fontTable" Target="fontTable.xml"/><Relationship Id="rId4" Type="http://schemas.openxmlformats.org/officeDocument/2006/relationships/theme" Target="theme/theme1.xml"/><Relationship Id="rId39" Type="http://schemas.openxmlformats.org/officeDocument/2006/relationships/customXml" Target="../customXml/item1.xml"/><Relationship Id="rId38" Type="http://schemas.openxmlformats.org/officeDocument/2006/relationships/chart" Target="charts/chart27.xml"/><Relationship Id="rId37" Type="http://schemas.openxmlformats.org/officeDocument/2006/relationships/chart" Target="charts/chart26.xml"/><Relationship Id="rId36" Type="http://schemas.openxmlformats.org/officeDocument/2006/relationships/chart" Target="charts/chart25.xml"/><Relationship Id="rId35" Type="http://schemas.openxmlformats.org/officeDocument/2006/relationships/chart" Target="charts/chart24.xml"/><Relationship Id="rId34" Type="http://schemas.openxmlformats.org/officeDocument/2006/relationships/chart" Target="charts/chart23.xml"/><Relationship Id="rId33" Type="http://schemas.openxmlformats.org/officeDocument/2006/relationships/chart" Target="charts/chart22.xml"/><Relationship Id="rId32" Type="http://schemas.openxmlformats.org/officeDocument/2006/relationships/image" Target="media/image7.png"/><Relationship Id="rId31" Type="http://schemas.openxmlformats.org/officeDocument/2006/relationships/image" Target="media/image6.png"/><Relationship Id="rId30" Type="http://schemas.openxmlformats.org/officeDocument/2006/relationships/chart" Target="charts/chart21.xml"/><Relationship Id="rId3" Type="http://schemas.openxmlformats.org/officeDocument/2006/relationships/footer" Target="footer1.xml"/><Relationship Id="rId29" Type="http://schemas.openxmlformats.org/officeDocument/2006/relationships/image" Target="media/image5.png"/><Relationship Id="rId28" Type="http://schemas.openxmlformats.org/officeDocument/2006/relationships/image" Target="media/image4.png"/><Relationship Id="rId27" Type="http://schemas.openxmlformats.org/officeDocument/2006/relationships/chart" Target="charts/chart20.xml"/><Relationship Id="rId26" Type="http://schemas.openxmlformats.org/officeDocument/2006/relationships/chart" Target="charts/chart19.xml"/><Relationship Id="rId25" Type="http://schemas.openxmlformats.org/officeDocument/2006/relationships/image" Target="media/image3.png"/><Relationship Id="rId24" Type="http://schemas.openxmlformats.org/officeDocument/2006/relationships/chart" Target="charts/chart18.xml"/><Relationship Id="rId23" Type="http://schemas.openxmlformats.org/officeDocument/2006/relationships/chart" Target="charts/chart17.xml"/><Relationship Id="rId22" Type="http://schemas.openxmlformats.org/officeDocument/2006/relationships/chart" Target="charts/chart16.xml"/><Relationship Id="rId21" Type="http://schemas.openxmlformats.org/officeDocument/2006/relationships/chart" Target="charts/chart15.xml"/><Relationship Id="rId20" Type="http://schemas.openxmlformats.org/officeDocument/2006/relationships/chart" Target="charts/chart14.xml"/><Relationship Id="rId2" Type="http://schemas.openxmlformats.org/officeDocument/2006/relationships/settings" Target="settings.xml"/><Relationship Id="rId19" Type="http://schemas.openxmlformats.org/officeDocument/2006/relationships/chart" Target="charts/chart13.xml"/><Relationship Id="rId18" Type="http://schemas.openxmlformats.org/officeDocument/2006/relationships/chart" Target="charts/chart12.xml"/><Relationship Id="rId17" Type="http://schemas.openxmlformats.org/officeDocument/2006/relationships/chart" Target="charts/chart11.xml"/><Relationship Id="rId16" Type="http://schemas.openxmlformats.org/officeDocument/2006/relationships/chart" Target="charts/chart10.xml"/><Relationship Id="rId15" Type="http://schemas.openxmlformats.org/officeDocument/2006/relationships/chart" Target="charts/chart9.xml"/><Relationship Id="rId14" Type="http://schemas.openxmlformats.org/officeDocument/2006/relationships/chart" Target="charts/chart8.xml"/><Relationship Id="rId13" Type="http://schemas.openxmlformats.org/officeDocument/2006/relationships/chart" Target="charts/chart7.xml"/><Relationship Id="rId12" Type="http://schemas.openxmlformats.org/officeDocument/2006/relationships/chart" Target="charts/chart6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oleObject" Target="file:///E:\&#1052;&#1086;&#1085;&#1080;&#1090;&#1086;&#1088;&#1080;&#1085;&#1075;%202024\&#1079;&#1072;&#1073;&#1086;&#1083;&#1077;&#1074;&#1072;&#1077;&#1084;&#1086;&#1089;&#1090;&#1100;%20&#1076;&#1077;&#1090;&#1089;&#1082;&#1072;&#110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5;&#1080;&#1090;&#1086;&#1088;&#1080;&#1085;&#1075;%202023&#1074;&#1085;\&#1057;&#1077;&#1085;&#1085;&#1086;%20&#1075;&#1088;&#1072;&#1092;&#1080;&#1082;&#108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5;&#1080;&#1090;&#1086;&#1088;&#1080;&#1085;&#1075;%202023&#1074;&#1085;\&#1057;&#1077;&#1085;&#1085;&#1086;%20&#1075;&#1088;&#1072;&#1092;&#1080;&#1082;&#108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54;&#1053;&#1048;&#1058;&#1054;&#1056;&#1048;&#1053;&#1043;%202021\&#1047;&#1072;&#1073;&#1086;&#1083;&#1077;&#1074;&#1072;&#1077;&#1084;&#1086;&#1089;&#1090;&#1100;%202019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E:\&#1052;&#1086;&#1085;&#1080;&#1090;&#1086;&#1088;&#1080;&#1085;&#1075;%202025\&#1048;&#1040;&#1041;%202025\&#1057;&#1077;&#1085;&#1085;&#1086;%20&#1075;&#1088;&#1072;&#1092;&#1080;&#1082;&#1080;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E:\&#1052;&#1086;&#1085;&#1080;&#1090;&#1086;&#1088;&#1080;&#1085;&#1075;%202025\&#1048;&#1040;&#1041;%202025\&#1057;&#1077;&#1085;&#1085;&#1086;%20&#1075;&#1088;&#1072;&#1092;&#1080;&#1082;&#108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5;&#1080;&#1090;&#1086;&#1088;&#1080;&#1085;&#1075;%202024\&#1057;&#1077;&#1085;&#1085;&#1086;%20&#1075;&#1088;&#1072;&#1092;&#1080;&#1082;&#1080;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E:\&#1052;&#1086;&#1085;&#1080;&#1090;&#1086;&#1088;&#1080;&#1085;&#1075;%202025\&#1048;&#1040;&#1041;%202025\&#1057;&#1077;&#1085;&#1085;&#1086;%20&#1075;&#1088;&#1072;&#1092;&#1080;&#1082;&#1080;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E:\&#1052;&#1086;&#1085;&#1080;&#1090;&#1086;&#1088;&#1080;&#1085;&#1075;%202025\&#1048;&#1040;&#1041;%202025\&#1057;&#1077;&#1085;&#1085;&#1086;%20&#1075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5;&#1080;&#1090;&#1086;&#1088;&#1080;&#1085;&#1075;%202025\&#1048;&#1040;&#1041;%202025\&#1057;&#1077;&#1085;&#1085;&#1086;%20&#1075;&#1088;&#1072;&#1092;&#1080;&#1082;&#1080;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oleObject" Target="file:///D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oleObject" Target="file:///D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5;&#1080;&#1090;&#1086;&#1088;&#1080;&#1085;&#1075;%202024\&#1057;&#1077;&#1085;&#1085;&#1086;%20&#1075;&#1088;&#1072;&#1092;&#1080;&#1082;&#1080;.xlsx" TargetMode="External"/></Relationships>
</file>

<file path=word/charts/_rels/chart26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27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oleObject" Target="file:///D:\&#1052;&#1086;&#1085;&#1080;&#1090;&#1086;&#1088;&#1080;&#1085;&#1075;%202025\&#1048;&#1040;&#1041;%202025\&#1057;&#1077;&#1085;&#1085;&#1086;%20&#1075;&#1088;&#1072;&#1092;&#1080;&#1082;&#108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5;&#1080;&#1090;&#1086;&#1088;&#1080;&#1085;&#1075;%202025\&#1048;&#1040;&#1041;%202025\&#1079;&#1072;&#1073;&#1086;&#1083;&#1077;&#1074;&#1072;&#1077;&#1084;&#1086;&#1089;&#1090;&#1100;%20&#1076;&#1077;&#1090;&#1089;&#1082;&#1072;&#1103;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oleObject" Target="file:///E:\&#1052;&#1086;&#1085;&#1080;&#1090;&#1086;&#1088;&#1080;&#1085;&#1075;%202025\&#1048;&#1040;&#1041;%202025\&#1057;&#1077;&#1085;&#1085;&#1086;%20&#1075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13188976378"/>
          <c:y val="0.342432799348357"/>
          <c:w val="0.858312554680665"/>
          <c:h val="0.44142154644462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Лист1!$B$3:$B$13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22604</c:v>
                </c:pt>
                <c:pt idx="1">
                  <c:v>22065</c:v>
                </c:pt>
                <c:pt idx="2">
                  <c:v>21592</c:v>
                </c:pt>
                <c:pt idx="3">
                  <c:v>21128</c:v>
                </c:pt>
                <c:pt idx="4">
                  <c:v>20677</c:v>
                </c:pt>
                <c:pt idx="5">
                  <c:v>20948</c:v>
                </c:pt>
                <c:pt idx="6">
                  <c:v>20377</c:v>
                </c:pt>
                <c:pt idx="7">
                  <c:v>19694</c:v>
                </c:pt>
                <c:pt idx="8">
                  <c:v>19035</c:v>
                </c:pt>
                <c:pt idx="9">
                  <c:v>18622</c:v>
                </c:pt>
                <c:pt idx="10">
                  <c:v>18132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7362440"/>
        <c:axId val="467362800"/>
      </c:lineChart>
      <c:catAx>
        <c:axId val="46736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67362800"/>
        <c:crosses val="autoZero"/>
        <c:auto val="1"/>
        <c:lblAlgn val="ctr"/>
        <c:lblOffset val="100"/>
        <c:noMultiLvlLbl val="0"/>
      </c:catAx>
      <c:valAx>
        <c:axId val="467362800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7362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3042387-26a5-435a-a065-4affb6b11d87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'медосмотры детей'!$B$3</c:f>
              <c:strCache>
                <c:ptCount val="1"/>
                <c:pt idx="0">
                  <c:v>выявленное понижение остроты зрения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'медосмотры детей'!$C$2:$G$2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'медосмотры детей'!$C$3:$G$3</c:f>
              <c:numCache>
                <c:formatCode>General</c:formatCode>
                <c:ptCount val="5"/>
                <c:pt idx="0">
                  <c:v>4.8</c:v>
                </c:pt>
                <c:pt idx="1">
                  <c:v>5</c:v>
                </c:pt>
                <c:pt idx="2">
                  <c:v>4.3</c:v>
                </c:pt>
                <c:pt idx="3">
                  <c:v>5.3</c:v>
                </c:pt>
                <c:pt idx="4">
                  <c:v>4.8</c:v>
                </c:pt>
              </c:numCache>
            </c:numRef>
          </c:val>
        </c:ser>
        <c:ser>
          <c:idx val="1"/>
          <c:order val="1"/>
          <c:tx>
            <c:strRef>
              <c:f>'медосмотры детей'!$B$4</c:f>
              <c:strCache>
                <c:ptCount val="1"/>
                <c:pt idx="0">
                  <c:v>дефекты речи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0.00143698807299894"/>
                  <c:y val="-0.15185068016450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87397614599799"/>
                  <c:y val="5.799785367778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'медосмотры детей'!$C$2:$G$2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'медосмотры детей'!$C$4:$G$4</c:f>
              <c:numCache>
                <c:formatCode>General</c:formatCode>
                <c:ptCount val="5"/>
                <c:pt idx="0">
                  <c:v>4.5</c:v>
                </c:pt>
                <c:pt idx="1">
                  <c:v>1.6</c:v>
                </c:pt>
                <c:pt idx="2">
                  <c:v>1.7</c:v>
                </c:pt>
                <c:pt idx="3">
                  <c:v>1.8</c:v>
                </c:pt>
                <c:pt idx="4">
                  <c:v>1.9</c:v>
                </c:pt>
              </c:numCache>
            </c:numRef>
          </c:val>
        </c:ser>
        <c:ser>
          <c:idx val="2"/>
          <c:order val="2"/>
          <c:tx>
            <c:strRef>
              <c:f>'медосмотры детей'!$B$5</c:f>
              <c:strCache>
                <c:ptCount val="1"/>
                <c:pt idx="0">
                  <c:v>нарушение осанки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'медосмотры детей'!$C$2:$G$2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'медосмотры детей'!$C$5:$G$5</c:f>
              <c:numCache>
                <c:formatCode>General</c:formatCode>
                <c:ptCount val="5"/>
                <c:pt idx="0">
                  <c:v>9.4</c:v>
                </c:pt>
                <c:pt idx="1">
                  <c:v>9.7</c:v>
                </c:pt>
                <c:pt idx="2">
                  <c:v>10.3</c:v>
                </c:pt>
                <c:pt idx="3">
                  <c:v>9.6</c:v>
                </c:pt>
                <c:pt idx="4">
                  <c:v>1.5</c:v>
                </c:pt>
              </c:numCache>
            </c:numRef>
          </c:val>
        </c:ser>
        <c:ser>
          <c:idx val="3"/>
          <c:order val="3"/>
          <c:tx>
            <c:strRef>
              <c:f>'медосмотры детей'!$B$6</c:f>
              <c:strCache>
                <c:ptCount val="1"/>
                <c:pt idx="0">
                  <c:v>выявленное понижение остроты слуха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00287397614599799"/>
                  <c:y val="-0.03796267004112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574795229199592"/>
                  <c:y val="-0.044289781714647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718494036499497"/>
                  <c:y val="-0.06327111673521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574795229199598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'медосмотры детей'!$C$2:$G$2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'медосмотры детей'!$C$6:$G$6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0.4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'медосмотры детей'!$B$7</c:f>
              <c:strCache>
                <c:ptCount val="1"/>
                <c:pt idx="0">
                  <c:v>сколиоз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0.00574795229199598"/>
                  <c:y val="-0.06327111673521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574795229199598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'медосмотры детей'!$C$2:$G$2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'медосмотры детей'!$C$7:$G$7</c:f>
              <c:numCache>
                <c:formatCode>General</c:formatCode>
                <c:ptCount val="5"/>
                <c:pt idx="0">
                  <c:v>1.2</c:v>
                </c:pt>
                <c:pt idx="1">
                  <c:v>0.9</c:v>
                </c:pt>
                <c:pt idx="2">
                  <c:v>0</c:v>
                </c:pt>
                <c:pt idx="3">
                  <c:v>0.7</c:v>
                </c:pt>
                <c:pt idx="4">
                  <c:v>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0462520"/>
        <c:axId val="1020459280"/>
      </c:barChart>
      <c:catAx>
        <c:axId val="1020462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1020459280"/>
        <c:crosses val="autoZero"/>
        <c:auto val="1"/>
        <c:lblAlgn val="ctr"/>
        <c:lblOffset val="100"/>
        <c:noMultiLvlLbl val="0"/>
      </c:catAx>
      <c:valAx>
        <c:axId val="1020459280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046252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04412f3-0393-4020-b418-96c86dd1649f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Лист1!$C$87</c:f>
              <c:strCache>
                <c:ptCount val="1"/>
                <c:pt idx="0">
                  <c:v>1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0111111111111111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666666666666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9444444444444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83333333333333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66666666666667"/>
                  <c:y val="4.2437781360067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Лист1!$B$88:$B$92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Лист1!$C$88:$C$92</c:f>
              <c:numCache>
                <c:formatCode>General</c:formatCode>
                <c:ptCount val="5"/>
                <c:pt idx="0">
                  <c:v>25.9</c:v>
                </c:pt>
                <c:pt idx="1">
                  <c:v>20.3</c:v>
                </c:pt>
                <c:pt idx="2">
                  <c:v>35.7</c:v>
                </c:pt>
                <c:pt idx="3">
                  <c:v>29.1</c:v>
                </c:pt>
                <c:pt idx="4">
                  <c:v>36.9</c:v>
                </c:pt>
              </c:numCache>
            </c:numRef>
          </c:val>
        </c:ser>
        <c:ser>
          <c:idx val="1"/>
          <c:order val="1"/>
          <c:tx>
            <c:strRef>
              <c:f>Лист1!$D$87</c:f>
              <c:strCache>
                <c:ptCount val="1"/>
                <c:pt idx="0">
                  <c:v>2 группа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Лист1!$B$88:$B$92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Лист1!$D$88:$D$92</c:f>
              <c:numCache>
                <c:formatCode>General</c:formatCode>
                <c:ptCount val="5"/>
                <c:pt idx="0">
                  <c:v>55.1</c:v>
                </c:pt>
                <c:pt idx="1">
                  <c:v>57.7</c:v>
                </c:pt>
                <c:pt idx="2">
                  <c:v>48.4</c:v>
                </c:pt>
                <c:pt idx="3">
                  <c:v>55.5</c:v>
                </c:pt>
                <c:pt idx="4">
                  <c:v>47.8</c:v>
                </c:pt>
              </c:numCache>
            </c:numRef>
          </c:val>
        </c:ser>
        <c:ser>
          <c:idx val="2"/>
          <c:order val="2"/>
          <c:tx>
            <c:strRef>
              <c:f>Лист1!$E$87</c:f>
              <c:strCache>
                <c:ptCount val="1"/>
                <c:pt idx="0">
                  <c:v>3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01666666666666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33333333333333"/>
                  <c:y val="0.0061162079510703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5"/>
                  <c:y val="-0.0138888888888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33333333333333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305555555555556"/>
                  <c:y val="-0.0046295359869008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Лист1!$B$88:$B$92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Лист1!$E$88:$E$92</c:f>
              <c:numCache>
                <c:formatCode>General</c:formatCode>
                <c:ptCount val="5"/>
                <c:pt idx="0">
                  <c:v>17.1</c:v>
                </c:pt>
                <c:pt idx="1">
                  <c:v>20.3</c:v>
                </c:pt>
                <c:pt idx="2">
                  <c:v>14</c:v>
                </c:pt>
                <c:pt idx="3">
                  <c:v>13.5</c:v>
                </c:pt>
                <c:pt idx="4">
                  <c:v>12.7</c:v>
                </c:pt>
              </c:numCache>
            </c:numRef>
          </c:val>
        </c:ser>
        <c:ser>
          <c:idx val="3"/>
          <c:order val="3"/>
          <c:tx>
            <c:strRef>
              <c:f>Лист1!$F$87</c:f>
              <c:strCache>
                <c:ptCount val="1"/>
                <c:pt idx="0">
                  <c:v>4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01666666666666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3888888888889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666666666666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22222222222222"/>
                  <c:y val="-0.0046298058896484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66666666666667"/>
                  <c:y val="-0.009259259259259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Лист1!$B$88:$B$92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Лист1!$F$88:$F$92</c:f>
              <c:numCache>
                <c:formatCode>General</c:formatCode>
                <c:ptCount val="5"/>
                <c:pt idx="0">
                  <c:v>1.9</c:v>
                </c:pt>
                <c:pt idx="1">
                  <c:v>1.7</c:v>
                </c:pt>
                <c:pt idx="2">
                  <c:v>1.9</c:v>
                </c:pt>
                <c:pt idx="3">
                  <c:v>1.9</c:v>
                </c:pt>
                <c:pt idx="4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845504"/>
        <c:axId val="85847040"/>
      </c:barChart>
      <c:catAx>
        <c:axId val="85845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5847040"/>
        <c:crosses val="autoZero"/>
        <c:auto val="1"/>
        <c:lblAlgn val="ctr"/>
        <c:lblOffset val="100"/>
        <c:noMultiLvlLbl val="0"/>
      </c:catAx>
      <c:valAx>
        <c:axId val="858470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584550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7fa722-78f7-4d8c-aca4-396dc407d1c6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Лист1!$C$97</c:f>
              <c:strCache>
                <c:ptCount val="1"/>
                <c:pt idx="0">
                  <c:v>1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0111111111111111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9444444444444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833333333333334"/>
                  <c:y val="0.009259259259259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666666666666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11111111111111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Лист1!$B$98:$B$102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Лист1!$C$98:$C$102</c:f>
              <c:numCache>
                <c:formatCode>General</c:formatCode>
                <c:ptCount val="5"/>
                <c:pt idx="0">
                  <c:v>29.2</c:v>
                </c:pt>
                <c:pt idx="1">
                  <c:v>28.8</c:v>
                </c:pt>
                <c:pt idx="2">
                  <c:v>14.7</c:v>
                </c:pt>
                <c:pt idx="3">
                  <c:v>26.5</c:v>
                </c:pt>
                <c:pt idx="4">
                  <c:v>22.9</c:v>
                </c:pt>
              </c:numCache>
            </c:numRef>
          </c:val>
        </c:ser>
        <c:ser>
          <c:idx val="1"/>
          <c:order val="1"/>
          <c:tx>
            <c:strRef>
              <c:f>Лист1!$D$97</c:f>
              <c:strCache>
                <c:ptCount val="1"/>
                <c:pt idx="0">
                  <c:v>2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0027777777777778"/>
                  <c:y val="-0.0277777777777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5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Лист1!$B$98:$B$102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Лист1!$D$98:$D$102</c:f>
              <c:numCache>
                <c:formatCode>General</c:formatCode>
                <c:ptCount val="5"/>
                <c:pt idx="0">
                  <c:v>38.3</c:v>
                </c:pt>
                <c:pt idx="1">
                  <c:v>37.8</c:v>
                </c:pt>
                <c:pt idx="2">
                  <c:v>50.9</c:v>
                </c:pt>
                <c:pt idx="3">
                  <c:v>53.7</c:v>
                </c:pt>
                <c:pt idx="4">
                  <c:v>34.1</c:v>
                </c:pt>
              </c:numCache>
            </c:numRef>
          </c:val>
        </c:ser>
        <c:ser>
          <c:idx val="2"/>
          <c:order val="2"/>
          <c:tx>
            <c:strRef>
              <c:f>Лист1!$E$97</c:f>
              <c:strCache>
                <c:ptCount val="1"/>
                <c:pt idx="0">
                  <c:v>3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0194444444444445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77777777777781"/>
                  <c:y val="0.004629629629629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5"/>
                  <c:y val="-4.2437781360067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5"/>
                  <c:y val="4.2437781360067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305555555555556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Лист1!$B$98:$B$102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Лист1!$E$98:$E$102</c:f>
              <c:numCache>
                <c:formatCode>General</c:formatCode>
                <c:ptCount val="5"/>
                <c:pt idx="0">
                  <c:v>31.7</c:v>
                </c:pt>
                <c:pt idx="1">
                  <c:v>31.8</c:v>
                </c:pt>
                <c:pt idx="2">
                  <c:v>31.9</c:v>
                </c:pt>
                <c:pt idx="3">
                  <c:v>16.8</c:v>
                </c:pt>
                <c:pt idx="4">
                  <c:v>40.4</c:v>
                </c:pt>
              </c:numCache>
            </c:numRef>
          </c:val>
        </c:ser>
        <c:ser>
          <c:idx val="3"/>
          <c:order val="3"/>
          <c:tx>
            <c:strRef>
              <c:f>Лист1!$F$97</c:f>
              <c:strCache>
                <c:ptCount val="1"/>
                <c:pt idx="0">
                  <c:v>4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00833333333333338"/>
                  <c:y val="-0.0046296296296295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9444444444444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2222222222222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66666666666667"/>
                  <c:y val="-0.004629629629629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Лист1!$B$98:$B$102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Лист1!$F$98:$F$102</c:f>
              <c:numCache>
                <c:formatCode>General</c:formatCode>
                <c:ptCount val="5"/>
                <c:pt idx="0">
                  <c:v>0.8</c:v>
                </c:pt>
                <c:pt idx="1">
                  <c:v>1.6</c:v>
                </c:pt>
                <c:pt idx="2">
                  <c:v>2.5</c:v>
                </c:pt>
                <c:pt idx="3">
                  <c:v>2.9</c:v>
                </c:pt>
                <c:pt idx="4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256256"/>
        <c:axId val="86274432"/>
      </c:barChart>
      <c:catAx>
        <c:axId val="86256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6274432"/>
        <c:crosses val="autoZero"/>
        <c:auto val="1"/>
        <c:lblAlgn val="ctr"/>
        <c:lblOffset val="100"/>
        <c:noMultiLvlLbl val="0"/>
      </c:catAx>
      <c:valAx>
        <c:axId val="862744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625625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a21a15a-cd38-4f48-8fef-8f517687475d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124592822011444"/>
          <c:y val="0.0606598133566638"/>
          <c:w val="0.973699892390533"/>
          <c:h val="0.360852126493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Лист2!$C$744</c:f>
              <c:strCache>
                <c:ptCount val="1"/>
                <c:pt idx="0">
                  <c:v>С понижение остроты зрения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2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Лист2!$D$743:$N$743</c:f>
              <c:strCache>
                <c:ptCount val="11"/>
                <c:pt idx="0">
                  <c:v>ГУО "СШ №1 г.Сенно"</c:v>
                </c:pt>
                <c:pt idx="1">
                  <c:v>ГУО "СШ №2 г.Сенно"</c:v>
                </c:pt>
                <c:pt idx="2">
                  <c:v>ГУО "Богушевская СШ"</c:v>
                </c:pt>
                <c:pt idx="3">
                  <c:v>ГУО "Студёнковская ЯССШ"</c:v>
                </c:pt>
                <c:pt idx="4">
                  <c:v>ГУО "Белицкая ЯССШ"</c:v>
                </c:pt>
                <c:pt idx="5">
                  <c:v>ГУО "Коковчинская ЯССШ"</c:v>
                </c:pt>
                <c:pt idx="6">
                  <c:v>ГУО "Ходцевская ЯССШ"</c:v>
                </c:pt>
                <c:pt idx="7">
                  <c:v>ГУО "Мошканская ЯССШ"</c:v>
                </c:pt>
                <c:pt idx="8">
                  <c:v>ГУО "Яновская ЯСБШ"</c:v>
                </c:pt>
                <c:pt idx="9">
                  <c:v>ГУО "Богдановская ЯСНШ"</c:v>
                </c:pt>
                <c:pt idx="10">
                  <c:v>По району среди УО</c:v>
                </c:pt>
              </c:strCache>
            </c:strRef>
          </c:cat>
          <c:val>
            <c:numRef>
              <c:f>Лист2!$D$744:$N$744</c:f>
              <c:numCache>
                <c:formatCode>General</c:formatCode>
                <c:ptCount val="11"/>
                <c:pt idx="0">
                  <c:v>463.2</c:v>
                </c:pt>
                <c:pt idx="1">
                  <c:v>396.7</c:v>
                </c:pt>
                <c:pt idx="2">
                  <c:v>34.2</c:v>
                </c:pt>
                <c:pt idx="3">
                  <c:v>404.8</c:v>
                </c:pt>
                <c:pt idx="4">
                  <c:v>145.4</c:v>
                </c:pt>
                <c:pt idx="5">
                  <c:v>25</c:v>
                </c:pt>
                <c:pt idx="6">
                  <c:v>216.7</c:v>
                </c:pt>
                <c:pt idx="7">
                  <c:v>112.6</c:v>
                </c:pt>
                <c:pt idx="8">
                  <c:v>341.5</c:v>
                </c:pt>
                <c:pt idx="9">
                  <c:v>272.7</c:v>
                </c:pt>
                <c:pt idx="10">
                  <c:v>257.6</c:v>
                </c:pt>
              </c:numCache>
            </c:numRef>
          </c:val>
        </c:ser>
        <c:ser>
          <c:idx val="1"/>
          <c:order val="1"/>
          <c:tx>
            <c:strRef>
              <c:f>Лист2!$C$745</c:f>
              <c:strCache>
                <c:ptCount val="1"/>
                <c:pt idx="0">
                  <c:v>С нарушением осанки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rgbClr val="FF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Лист2!$D$743:$N$743</c:f>
              <c:strCache>
                <c:ptCount val="11"/>
                <c:pt idx="0">
                  <c:v>ГУО "СШ №1 г.Сенно"</c:v>
                </c:pt>
                <c:pt idx="1">
                  <c:v>ГУО "СШ №2 г.Сенно"</c:v>
                </c:pt>
                <c:pt idx="2">
                  <c:v>ГУО "Богушевская СШ"</c:v>
                </c:pt>
                <c:pt idx="3">
                  <c:v>ГУО "Студёнковская ЯССШ"</c:v>
                </c:pt>
                <c:pt idx="4">
                  <c:v>ГУО "Белицкая ЯССШ"</c:v>
                </c:pt>
                <c:pt idx="5">
                  <c:v>ГУО "Коковчинская ЯССШ"</c:v>
                </c:pt>
                <c:pt idx="6">
                  <c:v>ГУО "Ходцевская ЯССШ"</c:v>
                </c:pt>
                <c:pt idx="7">
                  <c:v>ГУО "Мошканская ЯССШ"</c:v>
                </c:pt>
                <c:pt idx="8">
                  <c:v>ГУО "Яновская ЯСБШ"</c:v>
                </c:pt>
                <c:pt idx="9">
                  <c:v>ГУО "Богдановская ЯСНШ"</c:v>
                </c:pt>
                <c:pt idx="10">
                  <c:v>По району среди УО</c:v>
                </c:pt>
              </c:strCache>
            </c:strRef>
          </c:cat>
          <c:val>
            <c:numRef>
              <c:f>Лист2!$D$745:$N$745</c:f>
              <c:numCache>
                <c:formatCode>General</c:formatCode>
                <c:ptCount val="11"/>
                <c:pt idx="0">
                  <c:v>4.3</c:v>
                </c:pt>
                <c:pt idx="1">
                  <c:v>10.9</c:v>
                </c:pt>
                <c:pt idx="2">
                  <c:v>37</c:v>
                </c:pt>
                <c:pt idx="3">
                  <c:v>23.8</c:v>
                </c:pt>
                <c:pt idx="10">
                  <c:v>17.3</c:v>
                </c:pt>
              </c:numCache>
            </c:numRef>
          </c:val>
        </c:ser>
        <c:ser>
          <c:idx val="2"/>
          <c:order val="2"/>
          <c:tx>
            <c:strRef>
              <c:f>Лист2!$C$746</c:f>
              <c:strCache>
                <c:ptCount val="1"/>
                <c:pt idx="0">
                  <c:v>Сколиоз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rgbClr val="00B05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Лист2!$D$743:$N$743</c:f>
              <c:strCache>
                <c:ptCount val="11"/>
                <c:pt idx="0">
                  <c:v>ГУО "СШ №1 г.Сенно"</c:v>
                </c:pt>
                <c:pt idx="1">
                  <c:v>ГУО "СШ №2 г.Сенно"</c:v>
                </c:pt>
                <c:pt idx="2">
                  <c:v>ГУО "Богушевская СШ"</c:v>
                </c:pt>
                <c:pt idx="3">
                  <c:v>ГУО "Студёнковская ЯССШ"</c:v>
                </c:pt>
                <c:pt idx="4">
                  <c:v>ГУО "Белицкая ЯССШ"</c:v>
                </c:pt>
                <c:pt idx="5">
                  <c:v>ГУО "Коковчинская ЯССШ"</c:v>
                </c:pt>
                <c:pt idx="6">
                  <c:v>ГУО "Ходцевская ЯССШ"</c:v>
                </c:pt>
                <c:pt idx="7">
                  <c:v>ГУО "Мошканская ЯССШ"</c:v>
                </c:pt>
                <c:pt idx="8">
                  <c:v>ГУО "Яновская ЯСБШ"</c:v>
                </c:pt>
                <c:pt idx="9">
                  <c:v>ГУО "Богдановская ЯСНШ"</c:v>
                </c:pt>
                <c:pt idx="10">
                  <c:v>По району среди УО</c:v>
                </c:pt>
              </c:strCache>
            </c:strRef>
          </c:cat>
          <c:val>
            <c:numRef>
              <c:f>Лист2!$D$746:$N$746</c:f>
              <c:numCache>
                <c:formatCode>General</c:formatCode>
                <c:ptCount val="11"/>
                <c:pt idx="0">
                  <c:v>17.3</c:v>
                </c:pt>
                <c:pt idx="1">
                  <c:v>38</c:v>
                </c:pt>
                <c:pt idx="2">
                  <c:v>2.8</c:v>
                </c:pt>
                <c:pt idx="3">
                  <c:v>59.5</c:v>
                </c:pt>
                <c:pt idx="7">
                  <c:v>13.2</c:v>
                </c:pt>
                <c:pt idx="10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589120"/>
        <c:axId val="105349888"/>
      </c:barChart>
      <c:catAx>
        <c:axId val="99589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105349888"/>
        <c:crosses val="autoZero"/>
        <c:auto val="1"/>
        <c:lblAlgn val="ctr"/>
        <c:lblOffset val="100"/>
        <c:noMultiLvlLbl val="0"/>
      </c:catAx>
      <c:valAx>
        <c:axId val="1053498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9589120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86eb6e5-4491-450d-8bbd-5ba781287b41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9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331185531675824"/>
          <c:y val="0.457260864300536"/>
          <c:w val="0.6"/>
          <c:h val="0.493666921688511"/>
        </c:manualLayout>
      </c:layout>
      <c:pie3DChart>
        <c:varyColors val="1"/>
        <c:ser>
          <c:idx val="0"/>
          <c:order val="0"/>
          <c:explosion val="0"/>
          <c:dPt>
            <c:idx val="0"/>
            <c:bubble3D val="0"/>
            <c:explosion val="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78422572178478"/>
                  <c:y val="-0.1329633581345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78833862872404"/>
                  <c:y val="0.070018313096499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40473592116775"/>
                  <c:y val="0.15411626523125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22389924943593"/>
                  <c:y val="0.034231533812777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821741032371"/>
                  <c:y val="-0.11829261369867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234020755629231"/>
                  <c:y val="-0.25419385653445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24325643505088"/>
                  <c:y val="-0.30070542488111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161500437445319"/>
                  <c:y val="-0.1423405715671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156430446194226"/>
                  <c:y val="-0.30776115763575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54216477874476"/>
                  <c:y val="-0.25214708559025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190437882764654"/>
                  <c:y val="-0.1167319227724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53435914260717"/>
                  <c:y val="-0.044315098626365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14256539807524"/>
                  <c:y val="0.019806230704027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accent1">
                    <a:lumMod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lang="ru-RU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'[заболеваемость детская.xlsx]Лист2'!$B$66:$B$78</c:f>
              <c:strCache>
                <c:ptCount val="13"/>
                <c:pt idx="0">
                  <c:v>Болезни органов дыхания</c:v>
                </c:pt>
                <c:pt idx="1">
                  <c:v>Травмы, отравления </c:v>
                </c:pt>
                <c:pt idx="2">
                  <c:v>Болезни системы кровообращения</c:v>
                </c:pt>
                <c:pt idx="3">
                  <c:v>Некоторые инфекционные и паразитарные болезни</c:v>
                </c:pt>
                <c:pt idx="4">
                  <c:v>Болезни эндокринной системы,</c:v>
                </c:pt>
                <c:pt idx="5">
                  <c:v>Психические расстройства </c:v>
                </c:pt>
                <c:pt idx="6">
                  <c:v>Болезни кожи и подкожной клетчатки</c:v>
                </c:pt>
                <c:pt idx="7">
                  <c:v>Болезни костно-мышечной системы</c:v>
                </c:pt>
                <c:pt idx="8">
                  <c:v>Болезни мочеполовой системы</c:v>
                </c:pt>
                <c:pt idx="9">
                  <c:v>Болезни нервной системы</c:v>
                </c:pt>
                <c:pt idx="10">
                  <c:v>Новообразования</c:v>
                </c:pt>
                <c:pt idx="11">
                  <c:v>Болезни глаза</c:v>
                </c:pt>
                <c:pt idx="12">
                  <c:v>Прочие</c:v>
                </c:pt>
              </c:strCache>
            </c:strRef>
          </c:cat>
          <c:val>
            <c:numRef>
              <c:f>'[заболеваемость детская.xlsx]Лист2'!$C$66:$C$78</c:f>
              <c:numCache>
                <c:formatCode>General</c:formatCode>
                <c:ptCount val="13"/>
                <c:pt idx="0">
                  <c:v>56.9</c:v>
                </c:pt>
                <c:pt idx="1">
                  <c:v>10.5</c:v>
                </c:pt>
                <c:pt idx="2">
                  <c:v>6.8</c:v>
                </c:pt>
                <c:pt idx="3">
                  <c:v>4.7</c:v>
                </c:pt>
                <c:pt idx="4">
                  <c:v>3.4</c:v>
                </c:pt>
                <c:pt idx="5">
                  <c:v>3.4</c:v>
                </c:pt>
                <c:pt idx="6">
                  <c:v>3.4</c:v>
                </c:pt>
                <c:pt idx="7">
                  <c:v>2.7</c:v>
                </c:pt>
                <c:pt idx="8">
                  <c:v>1.7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8492f93-54de-4798-a8e0-0acd1f1bdd39}"/>
      </c:ext>
    </c:extLst>
  </c:chart>
  <c:spPr>
    <a:solidFill>
      <a:schemeClr val="bg1"/>
    </a:solidFill>
    <a:ln w="19050" cap="flat" cmpd="sng" algn="ctr">
      <a:solidFill>
        <a:schemeClr val="tx2">
          <a:lumMod val="60000"/>
          <a:lumOff val="40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1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3956851874171"/>
          <c:y val="0.0484368119771026"/>
          <c:w val="0.529155116307099"/>
          <c:h val="0.9121532364597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0.0589501762041096"/>
                  <c:y val="0.04593405488537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398297416347617"/>
                  <c:y val="-0.0130977893547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853103495461668"/>
                  <c:y val="-0.018645162851924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Лист3!$A$39:$A$53</c:f>
              <c:strCache>
                <c:ptCount val="15"/>
                <c:pt idx="0">
                  <c:v>Инфекционные болезни</c:v>
                </c:pt>
                <c:pt idx="1">
                  <c:v>Новообразования</c:v>
                </c:pt>
                <c:pt idx="2">
                  <c:v>Болезни крови</c:v>
                </c:pt>
                <c:pt idx="3">
                  <c:v>Болезни эндокринной системы</c:v>
                </c:pt>
                <c:pt idx="4">
                  <c:v>Психические расстрой</c:v>
                </c:pt>
                <c:pt idx="5">
                  <c:v>Болезни нервной системы</c:v>
                </c:pt>
                <c:pt idx="6">
                  <c:v>Болезни глаза </c:v>
                </c:pt>
                <c:pt idx="7">
                  <c:v>Болезни уха </c:v>
                </c:pt>
                <c:pt idx="8">
                  <c:v>Болезни системы кровообращения</c:v>
                </c:pt>
                <c:pt idx="9">
                  <c:v>Болезни органов дыхания</c:v>
                </c:pt>
                <c:pt idx="10">
                  <c:v>Болезни органов пищеварения</c:v>
                </c:pt>
                <c:pt idx="11">
                  <c:v>Болезни кожи </c:v>
                </c:pt>
                <c:pt idx="12">
                  <c:v>Болезни костно-мышечной системы</c:v>
                </c:pt>
                <c:pt idx="13">
                  <c:v>Болезни мочеполовой системы</c:v>
                </c:pt>
                <c:pt idx="14">
                  <c:v>Травмы, отравления</c:v>
                </c:pt>
              </c:strCache>
            </c:strRef>
          </c:cat>
          <c:val>
            <c:numRef>
              <c:f>Лист3!$B$39:$B$53</c:f>
              <c:numCache>
                <c:formatCode>0.0</c:formatCode>
                <c:ptCount val="15"/>
                <c:pt idx="0">
                  <c:v>11.2</c:v>
                </c:pt>
                <c:pt idx="1">
                  <c:v>-13.4</c:v>
                </c:pt>
                <c:pt idx="2">
                  <c:v>-7.4</c:v>
                </c:pt>
                <c:pt idx="3">
                  <c:v>4.9</c:v>
                </c:pt>
                <c:pt idx="4">
                  <c:v>3.2</c:v>
                </c:pt>
                <c:pt idx="5">
                  <c:v>-8.3</c:v>
                </c:pt>
                <c:pt idx="6">
                  <c:v>4.1</c:v>
                </c:pt>
                <c:pt idx="7">
                  <c:v>-11.4</c:v>
                </c:pt>
                <c:pt idx="8">
                  <c:v>-12.5</c:v>
                </c:pt>
                <c:pt idx="9">
                  <c:v>-2.3</c:v>
                </c:pt>
                <c:pt idx="10">
                  <c:v>-1.1</c:v>
                </c:pt>
                <c:pt idx="11">
                  <c:v>-6.3</c:v>
                </c:pt>
                <c:pt idx="12">
                  <c:v>-4.4</c:v>
                </c:pt>
                <c:pt idx="13">
                  <c:v>-3.3</c:v>
                </c:pt>
                <c:pt idx="14">
                  <c:v>-6.4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12826336"/>
        <c:axId val="612826696"/>
      </c:barChart>
      <c:catAx>
        <c:axId val="612826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612826696"/>
        <c:crosses val="autoZero"/>
        <c:auto val="0"/>
        <c:lblAlgn val="ctr"/>
        <c:lblOffset val="100"/>
        <c:noMultiLvlLbl val="0"/>
      </c:catAx>
      <c:valAx>
        <c:axId val="61282669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282633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9a0c0e-06e0-4581-a537-9e766c63f6d2}"/>
      </c:ext>
    </c:extLst>
  </c:chart>
  <c:spPr>
    <a:noFill/>
    <a:ln w="12700" cap="flat" cmpd="sng" algn="ctr">
      <a:solidFill>
        <a:schemeClr val="tx2">
          <a:lumMod val="60000"/>
          <a:lumOff val="40000"/>
        </a:schemeClr>
      </a:solidFill>
      <a:round/>
    </a:ln>
    <a:effectLst/>
  </c:spPr>
  <c:txPr>
    <a:bodyPr/>
    <a:lstStyle/>
    <a:p>
      <a:pPr>
        <a:defRPr lang="ru-RU">
          <a:solidFill>
            <a:schemeClr val="tx1">
              <a:lumMod val="95000"/>
              <a:lumOff val="5000"/>
            </a:schemeClr>
          </a:solidFill>
        </a:defRPr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Динамика заболеваемости с ВУТ</a:t>
            </a:r>
            <a:endParaRPr lang="ru-RU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Лист1!$C$150</c:f>
              <c:strCache>
                <c:ptCount val="1"/>
                <c:pt idx="0">
                  <c:v>Сенненский район"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Лист1!$B$151:$B$160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Лист1!$C$151:$C$160</c:f>
              <c:numCache>
                <c:formatCode>0.0</c:formatCode>
                <c:ptCount val="10"/>
                <c:pt idx="0">
                  <c:v>809.1</c:v>
                </c:pt>
                <c:pt idx="1">
                  <c:v>905.1</c:v>
                </c:pt>
                <c:pt idx="2">
                  <c:v>884.2</c:v>
                </c:pt>
                <c:pt idx="3">
                  <c:v>875.6</c:v>
                </c:pt>
                <c:pt idx="4">
                  <c:v>875.1</c:v>
                </c:pt>
                <c:pt idx="5">
                  <c:v>1202.2</c:v>
                </c:pt>
                <c:pt idx="6">
                  <c:v>1599.8</c:v>
                </c:pt>
                <c:pt idx="7">
                  <c:v>1449.6</c:v>
                </c:pt>
                <c:pt idx="8">
                  <c:v>1359.4</c:v>
                </c:pt>
                <c:pt idx="9">
                  <c:v>1413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Лист1!$D$150</c:f>
              <c:strCache>
                <c:ptCount val="1"/>
                <c:pt idx="0">
                  <c:v>Витебская область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rgbClr val="C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Лист1!$B$151:$B$160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Лист1!$D$151:$D$160</c:f>
              <c:numCache>
                <c:formatCode>General</c:formatCode>
                <c:ptCount val="10"/>
                <c:pt idx="0">
                  <c:v>788.2</c:v>
                </c:pt>
                <c:pt idx="1">
                  <c:v>787.7</c:v>
                </c:pt>
                <c:pt idx="2">
                  <c:v>771.8</c:v>
                </c:pt>
                <c:pt idx="3" c:formatCode="0.0">
                  <c:v>800.2</c:v>
                </c:pt>
                <c:pt idx="4" c:formatCode="0.0">
                  <c:v>805.3</c:v>
                </c:pt>
                <c:pt idx="5">
                  <c:v>1310</c:v>
                </c:pt>
                <c:pt idx="6">
                  <c:v>1511.2</c:v>
                </c:pt>
                <c:pt idx="7">
                  <c:v>1325.4</c:v>
                </c:pt>
                <c:pt idx="8">
                  <c:v>1198.6</c:v>
                </c:pt>
                <c:pt idx="9">
                  <c:v>1198.5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720567984"/>
        <c:axId val="720564384"/>
      </c:lineChart>
      <c:catAx>
        <c:axId val="72056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20564384"/>
        <c:crosses val="autoZero"/>
        <c:auto val="1"/>
        <c:lblAlgn val="ctr"/>
        <c:lblOffset val="100"/>
        <c:noMultiLvlLbl val="0"/>
      </c:catAx>
      <c:valAx>
        <c:axId val="72056438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chemeClr val="tx1"/>
                    </a:solidFill>
                  </a:rPr>
                  <a:t>Дней на 100 работающих</a:t>
                </a:r>
                <a:endParaRPr lang="ru-RU">
                  <a:solidFill>
                    <a:schemeClr val="tx1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056798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007d43e8-bf25-495b-b028-9c5dcf33ee08}"/>
      </c:ext>
    </c:extLst>
  </c:chart>
  <c:spPr>
    <a:solidFill>
      <a:schemeClr val="bg1"/>
    </a:solidFill>
    <a:ln w="2857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9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196090199707695"/>
          <c:y val="0.176843853831281"/>
          <c:w val="0.738840795189619"/>
          <c:h val="0.707568025214853"/>
        </c:manualLayout>
      </c:layout>
      <c:pie3DChart>
        <c:varyColors val="1"/>
        <c:ser>
          <c:idx val="0"/>
          <c:order val="0"/>
          <c:explosion val="1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0289834579926063"/>
                  <c:y val="-0.0469784846071257"/>
                </c:manualLayout>
              </c:layout>
              <c:numFmt formatCode="General" sourceLinked="1"/>
              <c:spPr>
                <a:solidFill>
                  <a:srgbClr val="4F81BD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lang="ru-RU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41971563136739e-17"/>
                  <c:y val="0.138360140621297"/>
                </c:manualLayout>
              </c:layout>
              <c:numFmt formatCode="General" sourceLinked="1"/>
              <c:spPr>
                <a:solidFill>
                  <a:srgbClr val="4F81BD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lang="ru-RU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17672790901138"/>
                  <c:y val="0.0411667464652547"/>
                </c:manualLayout>
              </c:layout>
              <c:numFmt formatCode="General" sourceLinked="1"/>
              <c:spPr>
                <a:solidFill>
                  <a:srgbClr val="4F81BD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lang="ru-RU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893814573756315"/>
                  <c:y val="-0.0687736280725538"/>
                </c:manualLayout>
              </c:layout>
              <c:numFmt formatCode="General" sourceLinked="1"/>
              <c:spPr>
                <a:solidFill>
                  <a:srgbClr val="4F81BD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lang="ru-RU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45899392633724"/>
                  <c:y val="-0.120523307243643"/>
                </c:manualLayout>
              </c:layout>
              <c:numFmt formatCode="General" sourceLinked="1"/>
              <c:spPr>
                <a:solidFill>
                  <a:srgbClr val="4F81BD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lang="ru-RU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668044240134723"/>
                  <c:y val="-0.0425150156933651"/>
                </c:manualLayout>
              </c:layout>
              <c:tx>
                <c:rich>
                  <a:bodyPr rot="0" spcFirstLastPara="1" vertOverflow="clip" vert="horz" wrap="square" lIns="36576" tIns="18288" rIns="36576" bIns="18288" anchor="ctr" anchorCtr="1"/>
                  <a:lstStyle/>
                  <a:p>
                    <a:fld id="{a7fe4779-6442-4a5f-b7fd-20173ea73cc4}" type="CATEGORYNAME">
                      <a:t>[CATEGORY NAME]</a:t>
                    </a:fld>
                    <a:r>
                      <a:t>,</a:t>
                    </a:r>
                    <a:fld id="{ce8a6436-0fc5-41c4-b7eb-7ba0a621fcc5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55797895205296"/>
                  <c:y val="-0.102122945271008"/>
                </c:manualLayout>
              </c:layout>
              <c:numFmt formatCode="General" sourceLinked="1"/>
              <c:spPr>
                <a:solidFill>
                  <a:srgbClr val="4F81BD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lang="ru-RU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587020264085486"/>
                  <c:y val="-0.0726026873289"/>
                </c:manualLayout>
              </c:layout>
              <c:tx>
                <c:rich>
                  <a:bodyPr rot="0" spcFirstLastPara="1" vertOverflow="clip" vert="horz" wrap="square" lIns="36576" tIns="18288" rIns="36576" bIns="18288" anchor="ctr" anchorCtr="1"/>
                  <a:lstStyle/>
                  <a:p>
                    <a:fld id="{1ac3581f-89d0-4ca1-89a7-bac6ee5fafb6}" type="CATEGORYNAME">
                      <a:t>[CATEGORY NAME]</a:t>
                    </a:fld>
                    <a:r>
                      <a:t>,</a:t>
                    </a:r>
                    <a:fld id="{c28e82d4-d809-4f15-a59b-a1da56c4003c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52753579213003"/>
                  <c:y val="-0.051253845364806"/>
                </c:manualLayout>
              </c:layout>
              <c:numFmt formatCode="General" sourceLinked="1"/>
              <c:spPr>
                <a:solidFill>
                  <a:srgbClr val="4F81BD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lang="ru-RU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50252807994376"/>
                  <c:y val="-0.0500001125433412"/>
                </c:manualLayout>
              </c:layout>
              <c:numFmt formatCode="General" sourceLinked="1"/>
              <c:spPr>
                <a:solidFill>
                  <a:srgbClr val="4F81BD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lang="ru-RU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4F81BD">
                  <a:lumMod val="20000"/>
                  <a:lumOff val="80000"/>
                </a:srgbClr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  <c15:leaderLines/>
              </c:ext>
            </c:extLst>
          </c:dLbls>
          <c:cat>
            <c:strRef>
              <c:f>Лист4!$B$19:$B$28</c:f>
              <c:strCache>
                <c:ptCount val="10"/>
                <c:pt idx="0">
                  <c:v>Болезни кровообращения</c:v>
                </c:pt>
                <c:pt idx="1">
                  <c:v>Новообразования</c:v>
                </c:pt>
                <c:pt idx="2">
                  <c:v>Болезни нервной системы</c:v>
                </c:pt>
                <c:pt idx="3">
                  <c:v>Болезни костно-мышечной системы </c:v>
                </c:pt>
                <c:pt idx="4">
                  <c:v>Последствия травм и отравлений</c:v>
                </c:pt>
                <c:pt idx="5">
                  <c:v>Психические расстройства</c:v>
                </c:pt>
                <c:pt idx="6">
                  <c:v>Болезни глаза</c:v>
                </c:pt>
                <c:pt idx="7">
                  <c:v>Болезни  дыхания</c:v>
                </c:pt>
                <c:pt idx="8">
                  <c:v>Болезни эндокринной системы</c:v>
                </c:pt>
                <c:pt idx="9">
                  <c:v>Болезни  пищеварения</c:v>
                </c:pt>
              </c:strCache>
            </c:strRef>
          </c:cat>
          <c:val>
            <c:numRef>
              <c:f>Лист4!$C$19:$C$28</c:f>
              <c:numCache>
                <c:formatCode>General</c:formatCode>
                <c:ptCount val="10"/>
                <c:pt idx="0">
                  <c:v>23.4</c:v>
                </c:pt>
                <c:pt idx="1">
                  <c:v>18.3</c:v>
                </c:pt>
                <c:pt idx="2" c:formatCode="0.0">
                  <c:v>15</c:v>
                </c:pt>
                <c:pt idx="3">
                  <c:v>11.7</c:v>
                </c:pt>
                <c:pt idx="4">
                  <c:v>11.7</c:v>
                </c:pt>
                <c:pt idx="5">
                  <c:v>8.3</c:v>
                </c:pt>
                <c:pt idx="6">
                  <c:v>3.3</c:v>
                </c:pt>
                <c:pt idx="7">
                  <c:v>3.3</c:v>
                </c:pt>
                <c:pt idx="8">
                  <c:v>3.3</c:v>
                </c:pt>
                <c:pt idx="9">
                  <c:v>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4cdc2ab-bd50-458e-9237-c8e3a11b23ec}"/>
      </c:ext>
    </c:extLst>
  </c:chart>
  <c:spPr>
    <a:noFill/>
    <a:ln w="28575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charset="0"/>
                <a:cs typeface="Times New Roman" panose="02020603050405020304" charset="0"/>
              </a:rPr>
              <a:t>Динамика заболеваемости сахарным диабетом населения Сенненского района</a:t>
            </a:r>
            <a:endParaRPr lang="ru-RU" sz="1400">
              <a:solidFill>
                <a:schemeClr val="tx1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84379015329354"/>
          <c:y val="0.319564781675018"/>
          <c:w val="0.945427151639048"/>
          <c:h val="0.251418118189772"/>
        </c:manualLayout>
      </c:layout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Лист1!$B$501:$B$510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Лист1!$C$501:$C$510</c:f>
              <c:numCache>
                <c:formatCode>General</c:formatCode>
                <c:ptCount val="10"/>
                <c:pt idx="0">
                  <c:v>3.3</c:v>
                </c:pt>
                <c:pt idx="1">
                  <c:v>3</c:v>
                </c:pt>
                <c:pt idx="2">
                  <c:v>2.8</c:v>
                </c:pt>
                <c:pt idx="3">
                  <c:v>2.5</c:v>
                </c:pt>
                <c:pt idx="4">
                  <c:v>4.4</c:v>
                </c:pt>
                <c:pt idx="5">
                  <c:v>4.1</c:v>
                </c:pt>
                <c:pt idx="6">
                  <c:v>3.3</c:v>
                </c:pt>
                <c:pt idx="7">
                  <c:v>7</c:v>
                </c:pt>
                <c:pt idx="8">
                  <c:v>6.7</c:v>
                </c:pt>
                <c:pt idx="9">
                  <c:v>6.6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652003088"/>
        <c:axId val="652003808"/>
      </c:lineChart>
      <c:catAx>
        <c:axId val="65200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52003808"/>
        <c:crosses val="autoZero"/>
        <c:auto val="1"/>
        <c:lblAlgn val="ctr"/>
        <c:lblOffset val="100"/>
        <c:noMultiLvlLbl val="0"/>
      </c:catAx>
      <c:valAx>
        <c:axId val="652003808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chemeClr val="tx1"/>
                    </a:solidFill>
                  </a:rPr>
                  <a:t>На 1000 населения</a:t>
                </a:r>
                <a:endParaRPr lang="ru-RU">
                  <a:solidFill>
                    <a:schemeClr val="tx1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52003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uri="{0b15fc19-7d7d-44ad-8c2d-2c3a37ce22c3}">
        <chartProps xmlns="https://web.wps.cn/et/2018/main" chartId="{0241411a-2ece-4f5f-b4b6-ba4c555e25ef}"/>
      </c:ext>
    </c:extLst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chemeClr val="tx1"/>
                </a:solidFill>
                <a:latin typeface="Times New Roman" panose="02020603050405020304" charset="0"/>
                <a:cs typeface="Times New Roman" panose="02020603050405020304" charset="0"/>
              </a:rPr>
              <a:t>Динамика заболеваемости системы кровообращения</a:t>
            </a:r>
            <a:endParaRPr lang="ru-RU" sz="1400" b="0" i="0" u="none" strike="noStrike" kern="1200" spc="0" baseline="0">
              <a:solidFill>
                <a:schemeClr val="tx1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34238066395547"/>
          <c:y val="0.036429872495446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28705834847567"/>
          <c:y val="0.168306010928962"/>
          <c:w val="0.911012200398027"/>
          <c:h val="0.517862398347747"/>
        </c:manualLayout>
      </c:layout>
      <c:lineChart>
        <c:grouping val="stacked"/>
        <c:varyColors val="0"/>
        <c:ser>
          <c:idx val="0"/>
          <c:order val="0"/>
          <c:tx>
            <c:strRef>
              <c:f>Лист1!$C$517</c:f>
              <c:strCache>
                <c:ptCount val="1"/>
                <c:pt idx="0">
                  <c:v>Витебская область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241209079634276"/>
                  <c:y val="0.04730433286003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55861094286291"/>
                  <c:y val="0.04001835836094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41209079634276"/>
                  <c:y val="0.04001835836094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41209079634276"/>
                  <c:y val="0.04730433286003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41209079634276"/>
                  <c:y val="0.04730433286003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241209079634276"/>
                  <c:y val="0.04001835836094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41209079634276"/>
                  <c:y val="0.054590307359121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241209079634276"/>
                  <c:y val="0.02544640936276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241209079634276"/>
                  <c:y val="0.04001835836094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211905050330246"/>
                  <c:y val="0.04730433286003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Лист1!$B$518:$B$527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Лист1!$C$518:$C$527</c:f>
              <c:numCache>
                <c:formatCode>General</c:formatCode>
                <c:ptCount val="10"/>
                <c:pt idx="0">
                  <c:v>26.4</c:v>
                </c:pt>
                <c:pt idx="1">
                  <c:v>26.5</c:v>
                </c:pt>
                <c:pt idx="2">
                  <c:v>40.4</c:v>
                </c:pt>
                <c:pt idx="3">
                  <c:v>37.3</c:v>
                </c:pt>
                <c:pt idx="4">
                  <c:v>33.5</c:v>
                </c:pt>
                <c:pt idx="5">
                  <c:v>31.9</c:v>
                </c:pt>
                <c:pt idx="6">
                  <c:v>30.8</c:v>
                </c:pt>
                <c:pt idx="7">
                  <c:v>30.8</c:v>
                </c:pt>
                <c:pt idx="8">
                  <c:v>30.1</c:v>
                </c:pt>
                <c:pt idx="9">
                  <c:v>30.3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Лист1!$D$517</c:f>
              <c:strCache>
                <c:ptCount val="1"/>
                <c:pt idx="0">
                  <c:v>Сенненский район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0.027461567304087"/>
                  <c:y val="-0.03273238386185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rgbClr val="C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Лист1!$B$518:$B$527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Лист1!$D$518:$D$527</c:f>
              <c:numCache>
                <c:formatCode>General</c:formatCode>
                <c:ptCount val="10"/>
                <c:pt idx="0">
                  <c:v>32.9</c:v>
                </c:pt>
                <c:pt idx="1">
                  <c:v>33.2</c:v>
                </c:pt>
                <c:pt idx="2">
                  <c:v>134.6</c:v>
                </c:pt>
                <c:pt idx="3">
                  <c:v>79</c:v>
                </c:pt>
                <c:pt idx="4">
                  <c:v>45.8</c:v>
                </c:pt>
                <c:pt idx="5">
                  <c:v>24.7</c:v>
                </c:pt>
                <c:pt idx="6">
                  <c:v>23.4</c:v>
                </c:pt>
                <c:pt idx="7">
                  <c:v>27.3</c:v>
                </c:pt>
                <c:pt idx="8">
                  <c:v>23.9</c:v>
                </c:pt>
                <c:pt idx="9">
                  <c:v>21.8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769188112"/>
        <c:axId val="769184872"/>
      </c:lineChart>
      <c:catAx>
        <c:axId val="76918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69184872"/>
        <c:crosses val="autoZero"/>
        <c:auto val="1"/>
        <c:lblAlgn val="ctr"/>
        <c:lblOffset val="100"/>
        <c:noMultiLvlLbl val="0"/>
      </c:catAx>
      <c:valAx>
        <c:axId val="769184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chemeClr val="tx1"/>
                    </a:solidFill>
                  </a:rPr>
                  <a:t>На 1000 населения</a:t>
                </a:r>
                <a:endParaRPr lang="ru-RU" sz="1000" b="0" i="0" u="none" strike="noStrike" kern="1200" baseline="0">
                  <a:solidFill>
                    <a:schemeClr val="tx1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918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e06de2d1-bf3b-4fee-a604-a2c0e2cdccf8}"/>
      </c:ext>
    </c:extLst>
  </c:chart>
  <c:spPr>
    <a:solidFill>
      <a:schemeClr val="bg1"/>
    </a:solidFill>
    <a:ln w="9525" cap="flat" cmpd="sng" algn="ctr">
      <a:solidFill>
        <a:schemeClr val="tx2">
          <a:lumMod val="60000"/>
          <a:lumOff val="40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Динамика рождаемости и смертности</a:t>
            </a:r>
            <a:endParaRPr lang="ru-RU" sz="12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08333333333333"/>
          <c:y val="0.23449544870721"/>
          <c:w val="0.898611111111111"/>
          <c:h val="0.50449822804407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Лист1!$C$16</c:f>
              <c:strCache>
                <c:ptCount val="1"/>
                <c:pt idx="0">
                  <c:v>смертность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Лист1!$B$17:$B$22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2024</c:v>
                </c:pt>
              </c:numCache>
            </c:numRef>
          </c:cat>
          <c:val>
            <c:numRef>
              <c:f>Лист1!$C$17:$C$22</c:f>
              <c:numCache>
                <c:formatCode>General</c:formatCode>
                <c:ptCount val="6"/>
                <c:pt idx="0">
                  <c:v>22.5</c:v>
                </c:pt>
                <c:pt idx="1">
                  <c:v>21.4</c:v>
                </c:pt>
                <c:pt idx="2">
                  <c:v>22.2</c:v>
                </c:pt>
                <c:pt idx="3">
                  <c:v>21</c:v>
                </c:pt>
                <c:pt idx="4">
                  <c:v>19.6</c:v>
                </c:pt>
                <c:pt idx="5">
                  <c:v>21.5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рождаемость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64316729654669"/>
                  <c:y val="-0.05342658983269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64316729654669"/>
                  <c:y val="-0.045977800261000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554793376672379"/>
                  <c:y val="-0.05342658983269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54793376672379"/>
                  <c:y val="-0.06832416897608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554793376672378"/>
                  <c:y val="-0.045977800261000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422230950510605"/>
                  <c:y val="-0.05342658983269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rgbClr val="EE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Лист1!$B$17:$B$22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2024</c:v>
                </c:pt>
              </c:numCache>
            </c:numRef>
          </c:cat>
          <c:val>
            <c:numRef>
              <c:f>Лист1!$D$17:$D$22</c:f>
              <c:numCache>
                <c:formatCode>General</c:formatCode>
                <c:ptCount val="6"/>
                <c:pt idx="0">
                  <c:v>10.9</c:v>
                </c:pt>
                <c:pt idx="1">
                  <c:v>11.4</c:v>
                </c:pt>
                <c:pt idx="2">
                  <c:v>9.7</c:v>
                </c:pt>
                <c:pt idx="3">
                  <c:v>8.3</c:v>
                </c:pt>
                <c:pt idx="4">
                  <c:v>8.1</c:v>
                </c:pt>
                <c:pt idx="5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0244264"/>
        <c:axId val="480251464"/>
      </c:lineChart>
      <c:catAx>
        <c:axId val="480244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80251464"/>
        <c:crosses val="autoZero"/>
        <c:auto val="1"/>
        <c:lblAlgn val="ctr"/>
        <c:lblOffset val="100"/>
        <c:noMultiLvlLbl val="0"/>
      </c:catAx>
      <c:valAx>
        <c:axId val="48025146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на 1000 населения</a:t>
                </a:r>
                <a:endParaRPr lang="ru-RU">
                  <a:solidFill>
                    <a:sysClr val="windowText" lastClr="000000"/>
                  </a:solidFill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0244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917298131098"/>
          <c:y val="0.832390628590781"/>
          <c:w val="0.831339082237803"/>
          <c:h val="0.1054595594905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e365a4-772d-4fc4-af5c-19238ca96a18}"/>
      </c:ext>
    </c:extLst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325263157894737"/>
          <c:y val="0.202777777777778"/>
          <c:w val="0.487894736842105"/>
          <c:h val="0.79027777777777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0.0472615739992742"/>
                  <c:y val="0.043745013259661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068362390044"/>
                  <c:y val="-0.016185234122750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552631578947368"/>
                  <c:y val="0.008333333333333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91852294611049"/>
                  <c:y val="0.0879629629629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631609806832296"/>
                  <c:y val="-0.11099664625255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836842105263158"/>
                  <c:y val="-0.16868801562350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226255776211656"/>
                  <c:y val="-0.11379840989507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'[Сенно графики.xlsx]Лист1'!$P$536:$P$542</c:f>
              <c:strCache>
                <c:ptCount val="7"/>
                <c:pt idx="0">
                  <c:v>Ишемическая болезнь сердца</c:v>
                </c:pt>
                <c:pt idx="1">
                  <c:v>Цереброваскулярные болезни </c:v>
                </c:pt>
                <c:pt idx="2">
                  <c:v>Болезни, характеризующиеся повышенным кровяным давлением</c:v>
                </c:pt>
                <c:pt idx="3">
                  <c:v>Кардиомиопатия</c:v>
                </c:pt>
                <c:pt idx="4">
                  <c:v>Болезни артерий, артериол и капилляров </c:v>
                </c:pt>
                <c:pt idx="5">
                  <c:v>Пролапс митрального клапана</c:v>
                </c:pt>
                <c:pt idx="6">
                  <c:v>Болезни вен</c:v>
                </c:pt>
              </c:strCache>
            </c:strRef>
          </c:cat>
          <c:val>
            <c:numRef>
              <c:f>'[Сенно графики.xlsx]Лист1'!$Q$536:$Q$542</c:f>
              <c:numCache>
                <c:formatCode>General</c:formatCode>
                <c:ptCount val="7"/>
                <c:pt idx="0">
                  <c:v>27.6</c:v>
                </c:pt>
                <c:pt idx="1">
                  <c:v>24.4</c:v>
                </c:pt>
                <c:pt idx="2">
                  <c:v>38.4</c:v>
                </c:pt>
                <c:pt idx="3">
                  <c:v>0.4</c:v>
                </c:pt>
                <c:pt idx="4">
                  <c:v>0.4</c:v>
                </c:pt>
                <c:pt idx="5">
                  <c:v>2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fd674e8-5fa0-41fd-8b08-e67e4d80070d}"/>
      </c:ext>
    </c:extLst>
  </c:chart>
  <c:spPr>
    <a:solidFill>
      <a:schemeClr val="bg1"/>
    </a:solidFill>
    <a:ln w="28575" cap="flat" cmpd="sng" algn="ctr">
      <a:solidFill>
        <a:schemeClr val="tx2">
          <a:lumMod val="60000"/>
          <a:lumOff val="40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47539770625231"/>
          <c:y val="0.101149425287356"/>
          <c:w val="0.928967813540511"/>
          <c:h val="0.469636709204453"/>
        </c:manualLayout>
      </c:layout>
      <c:lineChart>
        <c:grouping val="stacked"/>
        <c:varyColors val="0"/>
        <c:ser>
          <c:idx val="0"/>
          <c:order val="0"/>
          <c:tx>
            <c:strRef>
              <c:f>онкология!$B$168</c:f>
              <c:strCache>
                <c:ptCount val="1"/>
                <c:pt idx="0">
                  <c:v>Сенненский район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онкология!$C$167:$K$167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онкология!$C$168:$K$168</c:f>
              <c:numCache>
                <c:formatCode>0.0</c:formatCode>
                <c:ptCount val="9"/>
                <c:pt idx="0">
                  <c:v>662.6</c:v>
                </c:pt>
                <c:pt idx="1">
                  <c:v>581.8</c:v>
                </c:pt>
                <c:pt idx="2">
                  <c:v>664.8</c:v>
                </c:pt>
                <c:pt idx="3">
                  <c:v>689.1</c:v>
                </c:pt>
                <c:pt idx="4">
                  <c:v>694.7</c:v>
                </c:pt>
                <c:pt idx="5">
                  <c:v>517.858871358049</c:v>
                </c:pt>
                <c:pt idx="6">
                  <c:v>539.029746456379</c:v>
                </c:pt>
                <c:pt idx="7">
                  <c:v>599.05</c:v>
                </c:pt>
                <c:pt idx="8">
                  <c:v>849.8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онкология!$B$169</c:f>
              <c:strCache>
                <c:ptCount val="1"/>
                <c:pt idx="0">
                  <c:v>Витебская область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онкология!$C$167:$K$167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онкология!$C$169:$K$169</c:f>
              <c:numCache>
                <c:formatCode>0.0</c:formatCode>
                <c:ptCount val="9"/>
                <c:pt idx="0">
                  <c:v>515.2</c:v>
                </c:pt>
                <c:pt idx="1">
                  <c:v>523.9</c:v>
                </c:pt>
                <c:pt idx="2">
                  <c:v>542.6</c:v>
                </c:pt>
                <c:pt idx="3">
                  <c:v>546.6</c:v>
                </c:pt>
                <c:pt idx="4">
                  <c:v>575.7</c:v>
                </c:pt>
                <c:pt idx="5">
                  <c:v>454.9</c:v>
                </c:pt>
                <c:pt idx="6">
                  <c:v>505.17130684526</c:v>
                </c:pt>
                <c:pt idx="7">
                  <c:v>576.56</c:v>
                </c:pt>
                <c:pt idx="8">
                  <c:v>619.9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683344"/>
        <c:axId val="542687304"/>
      </c:lineChart>
      <c:catAx>
        <c:axId val="54268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542687304"/>
        <c:crosses val="autoZero"/>
        <c:auto val="1"/>
        <c:lblAlgn val="ctr"/>
        <c:lblOffset val="100"/>
        <c:noMultiLvlLbl val="0"/>
      </c:catAx>
      <c:valAx>
        <c:axId val="54268730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На</a:t>
                </a:r>
                <a:r>
                  <a:rPr lang="ru-RU" baseline="0">
                    <a:solidFill>
                      <a:sysClr val="windowText" lastClr="000000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 100000 населения</a:t>
                </a:r>
                <a:endParaRPr lang="ru-RU">
                  <a:solidFill>
                    <a:sysClr val="windowText" lastClr="000000"/>
                  </a:solidFill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4268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0c5351cc-565e-4800-b976-c6516b992485}"/>
      </c:ext>
    </c:extLst>
  </c:chart>
  <c:spPr>
    <a:noFill/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342930247683142"/>
          <c:y val="0.327649523426519"/>
          <c:w val="0.449881610102605"/>
          <c:h val="0.55213928505278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0.0870112237283953"/>
                  <c:y val="0.026974873177293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6ea49a7e-e4c8-4307-938d-727a2dfb0cef}" type="CELLRANGE">
                      <a:t>[CELLRANGE]</a:t>
                    </a:fld>
                    <a:r>
                      <a:t>,</a:t>
                    </a:r>
                    <a:fld id="{41eab11a-dbd4-4cf4-a375-017e9c823f36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0.0111590479172583"/>
                  <c:y val="-0.054658458613528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a41ff3f0-5cc5-46b6-912d-7f10a69997c8}" type="CELLRANGE">
                      <a:t>[CELLRANGE]</a:t>
                    </a:fld>
                    <a:r>
                      <a:t>,</a:t>
                    </a:r>
                    <a:fld id="{d17b321b-0049-4da6-a7bd-5febe043dca1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>
                <c:manualLayout>
                  <c:x val="0.129802823445066"/>
                  <c:y val="-0.036539145498811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ee7af4dd-132b-4e83-af9f-4fde5260e99c}" type="CELLRANGE">
                      <a:t>[CELLRANGE]</a:t>
                    </a:fld>
                    <a:r>
                      <a:t>,</a:t>
                    </a:r>
                    <a:fld id="{c5326f94-c194-4a77-ae1e-445c2b64b218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3"/>
              <c:layout>
                <c:manualLayout>
                  <c:x val="0.182485579444153"/>
                  <c:y val="0.085027726432532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0f995892-23c0-4c39-b9b2-3c56883bef2e}" type="CELLRANGE">
                      <a:t>[CELLRANGE]</a:t>
                    </a:fld>
                    <a:r>
                      <a:t>,</a:t>
                    </a:r>
                    <a:fld id="{e58127a2-c149-433f-8fd7-bc11e66f8edc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4"/>
              <c:layout>
                <c:manualLayout>
                  <c:x val="-0.00839014158363922"/>
                  <c:y val="0.17744916820702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59e3b99f-2269-4f8e-a7d7-56dd089cf684}" type="CELLRANGE">
                      <a:t>[CELLRANGE]</a:t>
                    </a:fld>
                    <a:r>
                      <a:t>,</a:t>
                    </a:r>
                    <a:fld id="{19d8c26a-e25f-4d7a-bff8-c51c6a3f6229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5"/>
              <c:layout>
                <c:manualLayout>
                  <c:x val="-0.121657052962769"/>
                  <c:y val="0.13678373382624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6638abd8-78d2-4efa-acf3-34b97f8daf32}" type="CELLRANGE">
                      <a:t>[CELLRANGE]</a:t>
                    </a:fld>
                    <a:r>
                      <a:t>,</a:t>
                    </a:r>
                    <a:fld id="{c6af7194-55ea-4a1f-9f55-2441481140f4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6"/>
              <c:layout>
                <c:manualLayout>
                  <c:x val="-0.130061719102815"/>
                  <c:y val="0.081648081648081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ec66b1d0-b5a5-4499-955e-e9100830bbb7}" type="CELLRANGE">
                      <a:t>[CELLRANGE]</a:t>
                    </a:fld>
                    <a:r>
                      <a:t>,</a:t>
                    </a:r>
                    <a:fld id="{4c78e412-a964-4540-9e33-e70ea6303495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7"/>
              <c:layout>
                <c:manualLayout>
                  <c:x val="-0.097863689088759"/>
                  <c:y val="0.012836573748278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3525ddc8-f6d5-40fc-a6aa-6a516be2367c}" type="CELLRANGE">
                      <a:t>[CELLRANGE]</a:t>
                    </a:fld>
                    <a:r>
                      <a:t>,</a:t>
                    </a:r>
                    <a:fld id="{dde14c19-16f7-4791-bd6e-565070b7b40c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8"/>
              <c:layout>
                <c:manualLayout>
                  <c:x val="-0.0986025251521354"/>
                  <c:y val="-0.1423393014428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b190a2b3-48fd-47ca-ada0-a1fcb53c8992}" type="CELLRANGE">
                      <a:t>[CELLRANGE]</a:t>
                    </a:fld>
                    <a:r>
                      <a:t>,</a:t>
                    </a:r>
                    <a:fld id="{6a95b482-35ac-4746-a6f5-f063a8961485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9"/>
              <c:layout>
                <c:manualLayout>
                  <c:x val="-0.117635074027555"/>
                  <c:y val="-0.2080442565498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9b504b52-17df-406b-a80d-4ee86065314a}" type="CELLRANGE">
                      <a:t>[CELLRANGE]</a:t>
                    </a:fld>
                    <a:r>
                      <a:t>,</a:t>
                    </a:r>
                    <a:fld id="{738dc5e7-915f-41b4-adaf-27ff084d822b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0"/>
              <c:layout>
                <c:manualLayout>
                  <c:x val="-0.0147298697168006"/>
                  <c:y val="-0.27429238650321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dd8456a7-86d6-4956-b6eb-9b027cf0de5b}" type="CELLRANGE">
                      <a:t>[CELLRANGE]</a:t>
                    </a:fld>
                    <a:r>
                      <a:t>,</a:t>
                    </a:r>
                    <a:fld id="{b730ca65-a16e-4dd8-9029-80a73367ef44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1"/>
              <c:layout>
                <c:manualLayout>
                  <c:x val="0.127991511888312"/>
                  <c:y val="-0.21457948194955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cdba3b04-8456-419b-9888-39726f5e3e40}" type="CELLRANGE">
                      <a:t>[CELLRANGE]</a:t>
                    </a:fld>
                    <a:r>
                      <a:t>,</a:t>
                    </a:r>
                    <a:fld id="{f1a5eea1-3693-46ff-941a-e6ade4421dee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2"/>
              <c:layout>
                <c:manualLayout>
                  <c:x val="0.252698183523886"/>
                  <c:y val="-0.2203561829836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27913a7b-9cd3-4e94-acb8-0bd1f4ac5284}" type="CELLRANGE">
                      <a:t>[CELLRANGE]</a:t>
                    </a:fld>
                    <a:r>
                      <a:t>,</a:t>
                    </a:r>
                    <a:fld id="{d5e97c44-cbce-4880-8e83-b5bd54bb3ba8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3"/>
              <c:layout>
                <c:manualLayout>
                  <c:x val="0.336434314060233"/>
                  <c:y val="-0.13058774299723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fld id="{f47c0881-c8fb-4597-951b-1030dbbf5935}" type="CELLRANGE">
                      <a:t>[CELLRANGE]</a:t>
                    </a:fld>
                    <a:r>
                      <a:t>,</a:t>
                    </a:r>
                    <a:fld id="{5eb1659d-5779-4e91-b390-fb2a402a1356}" type="VALUE">
                      <a:t>[VALUE]</a:t>
                    </a:fld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'[заболеваемость детская.xlsx]онкология'!$C$222:$C$235</c:f>
              <c:numCache>
                <c:formatCode>General</c:formatCode>
                <c:ptCount val="14"/>
                <c:pt idx="0">
                  <c:v>16.6</c:v>
                </c:pt>
                <c:pt idx="1">
                  <c:v>16.6</c:v>
                </c:pt>
                <c:pt idx="2">
                  <c:v>10.6</c:v>
                </c:pt>
                <c:pt idx="3">
                  <c:v>8.6</c:v>
                </c:pt>
                <c:pt idx="4">
                  <c:v>6</c:v>
                </c:pt>
                <c:pt idx="5">
                  <c:v>5.3</c:v>
                </c:pt>
                <c:pt idx="6">
                  <c:v>5.3</c:v>
                </c:pt>
                <c:pt idx="7">
                  <c:v>4.6</c:v>
                </c:pt>
                <c:pt idx="8">
                  <c:v>4.6</c:v>
                </c:pt>
                <c:pt idx="9">
                  <c:v>3.3</c:v>
                </c:pt>
                <c:pt idx="10">
                  <c:v>2.7</c:v>
                </c:pt>
                <c:pt idx="11">
                  <c:v>2.7</c:v>
                </c:pt>
                <c:pt idx="12">
                  <c:v>2</c:v>
                </c:pt>
                <c:pt idx="13">
                  <c:v>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онкология!$B$222:$B$235</c15:f>
                <c15:dlblRangeCache>
                  <c:ptCount val="14"/>
                  <c:pt idx="0">
                    <c:v>   предстательной железы</c:v>
                  </c:pt>
                  <c:pt idx="1">
                    <c:v>   трахеи, бронхов, легкого</c:v>
                  </c:pt>
                  <c:pt idx="2">
                    <c:v>   другие новообразования кожи</c:v>
                  </c:pt>
                  <c:pt idx="3">
                    <c:v>   желудка</c:v>
                  </c:pt>
                  <c:pt idx="4">
                    <c:v>   Лейкозы</c:v>
                  </c:pt>
                  <c:pt idx="5">
                    <c:v>   ободочной кишки</c:v>
                  </c:pt>
                  <c:pt idx="6">
                    <c:v>   почки</c:v>
                  </c:pt>
                  <c:pt idx="7">
                    <c:v>   ректосигмоидного соединения,   прямой кишки, ануса</c:v>
                  </c:pt>
                  <c:pt idx="8">
                    <c:v>   тела матки</c:v>
                  </c:pt>
                  <c:pt idx="9">
                    <c:v>   шейки матки</c:v>
                  </c:pt>
                  <c:pt idx="10">
                    <c:v>   молочной железы</c:v>
                  </c:pt>
                  <c:pt idx="11">
                    <c:v>   других локализаций</c:v>
                  </c:pt>
                  <c:pt idx="12">
                    <c:v>   глотки</c:v>
                  </c:pt>
                  <c:pt idx="13">
                    <c:v>   мочевого пузыря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ec8c197-ccec-4821-bf3d-f31c34a19613}"/>
      </c:ext>
    </c:extLst>
  </c:chart>
  <c:spPr>
    <a:noFill/>
    <a:ln w="28575" cap="flat" cmpd="sng" algn="ctr">
      <a:solidFill>
        <a:schemeClr val="accent1">
          <a:lumMod val="7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7659022068369"/>
          <c:y val="0.0326167531504818"/>
          <c:w val="0.464070387999423"/>
          <c:h val="0.93476649369903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.0675032453483341"/>
                  <c:y val="-0.02312824314306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519255733448724"/>
                  <c:y val="-0.001779095626389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0427677223853705"/>
                  <c:y val="-0.001062229367379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0.022501081782778"/>
                  <c:y val="-0.008895478131949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'[заболеваемость детская.xlsx]онкология'!$B$137:$B$164</c:f>
              <c:strCache>
                <c:ptCount val="28"/>
                <c:pt idx="0">
                  <c:v>   полости рта</c:v>
                </c:pt>
                <c:pt idx="1">
                  <c:v>   глотки</c:v>
                </c:pt>
                <c:pt idx="2">
                  <c:v>   пищевода</c:v>
                </c:pt>
                <c:pt idx="3">
                  <c:v>   желудка</c:v>
                </c:pt>
                <c:pt idx="4">
                  <c:v>   ободочной кишки</c:v>
                </c:pt>
                <c:pt idx="5">
                  <c:v>   ректосигмоидного соединения,   прямой кишки, ануса</c:v>
                </c:pt>
                <c:pt idx="6">
                  <c:v>   печени и желчных протоков</c:v>
                </c:pt>
                <c:pt idx="7">
                  <c:v>   поджелудочной железы</c:v>
                </c:pt>
                <c:pt idx="8">
                  <c:v>   гортани</c:v>
                </c:pt>
                <c:pt idx="9">
                  <c:v>   трахеи, бронхов, легкого</c:v>
                </c:pt>
                <c:pt idx="10">
                  <c:v>   костей и суставных хрящей</c:v>
                </c:pt>
                <c:pt idx="11">
                  <c:v>   меланома кожи</c:v>
                </c:pt>
                <c:pt idx="12">
                  <c:v>   другие новообразования кожи</c:v>
                </c:pt>
                <c:pt idx="13">
                  <c:v>   соединительной и мягких тканей</c:v>
                </c:pt>
                <c:pt idx="14">
                  <c:v>   молочной железы</c:v>
                </c:pt>
                <c:pt idx="15">
                  <c:v>   шейки матки</c:v>
                </c:pt>
                <c:pt idx="16">
                  <c:v>   тела матки</c:v>
                </c:pt>
                <c:pt idx="17">
                  <c:v>   яичника</c:v>
                </c:pt>
                <c:pt idx="18">
                  <c:v>   предстательной железы</c:v>
                </c:pt>
                <c:pt idx="19">
                  <c:v>   почки</c:v>
                </c:pt>
                <c:pt idx="20">
                  <c:v>   мочевого пузыря</c:v>
                </c:pt>
                <c:pt idx="21">
                  <c:v>   центральной нервной системы</c:v>
                </c:pt>
                <c:pt idx="22">
                  <c:v>   щитовидной железы</c:v>
                </c:pt>
                <c:pt idx="23">
                  <c:v>   болезнь Ходжкина</c:v>
                </c:pt>
                <c:pt idx="24">
                  <c:v>   неходжкинские лимфомы</c:v>
                </c:pt>
                <c:pt idx="25">
                  <c:v>   множественная миелома</c:v>
                </c:pt>
                <c:pt idx="26">
                  <c:v>   Лейкозы</c:v>
                </c:pt>
                <c:pt idx="27">
                  <c:v>   других локализаций</c:v>
                </c:pt>
              </c:strCache>
            </c:strRef>
          </c:cat>
          <c:val>
            <c:numRef>
              <c:f>'[заболеваемость детская.xlsx]онкология'!$C$137:$C$164</c:f>
              <c:numCache>
                <c:formatCode>0.0</c:formatCode>
                <c:ptCount val="28"/>
                <c:pt idx="0">
                  <c:v>-5</c:v>
                </c:pt>
                <c:pt idx="1">
                  <c:v>0.2</c:v>
                </c:pt>
                <c:pt idx="2">
                  <c:v>-12.6</c:v>
                </c:pt>
                <c:pt idx="3">
                  <c:v>-1.3</c:v>
                </c:pt>
                <c:pt idx="4">
                  <c:v>4.9</c:v>
                </c:pt>
                <c:pt idx="5">
                  <c:v>5.6</c:v>
                </c:pt>
                <c:pt idx="6">
                  <c:v>0.9</c:v>
                </c:pt>
                <c:pt idx="7">
                  <c:v>1.5</c:v>
                </c:pt>
                <c:pt idx="8">
                  <c:v>-9.3</c:v>
                </c:pt>
                <c:pt idx="9">
                  <c:v>2.4</c:v>
                </c:pt>
                <c:pt idx="10">
                  <c:v>1.1</c:v>
                </c:pt>
                <c:pt idx="11">
                  <c:v>13.8</c:v>
                </c:pt>
                <c:pt idx="12">
                  <c:v>0.5</c:v>
                </c:pt>
                <c:pt idx="13">
                  <c:v>-11</c:v>
                </c:pt>
                <c:pt idx="14">
                  <c:v>-4.5</c:v>
                </c:pt>
                <c:pt idx="15">
                  <c:v>0.4</c:v>
                </c:pt>
                <c:pt idx="16">
                  <c:v>2.5</c:v>
                </c:pt>
                <c:pt idx="17">
                  <c:v>0.7</c:v>
                </c:pt>
                <c:pt idx="18">
                  <c:v>8.5</c:v>
                </c:pt>
                <c:pt idx="19">
                  <c:v>6.8</c:v>
                </c:pt>
                <c:pt idx="20">
                  <c:v>-7.9</c:v>
                </c:pt>
                <c:pt idx="21">
                  <c:v>6.6</c:v>
                </c:pt>
                <c:pt idx="22">
                  <c:v>-10.2</c:v>
                </c:pt>
                <c:pt idx="23">
                  <c:v>-1.8</c:v>
                </c:pt>
                <c:pt idx="24">
                  <c:v>-7.4</c:v>
                </c:pt>
                <c:pt idx="25">
                  <c:v>13.2</c:v>
                </c:pt>
                <c:pt idx="26">
                  <c:v>18.7</c:v>
                </c:pt>
                <c:pt idx="27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09595344"/>
        <c:axId val="609593544"/>
      </c:barChart>
      <c:catAx>
        <c:axId val="609595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09593544"/>
        <c:crosses val="autoZero"/>
        <c:auto val="1"/>
        <c:lblAlgn val="ctr"/>
        <c:lblOffset val="100"/>
        <c:noMultiLvlLbl val="0"/>
      </c:catAx>
      <c:valAx>
        <c:axId val="6095935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0959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e1af0de-0ab3-4049-856b-ce392e4bf9b8}"/>
      </c:ext>
    </c:extLst>
  </c:chart>
  <c:spPr>
    <a:noFill/>
    <a:ln w="28575" cap="flat" cmpd="sng" algn="ctr">
      <a:solidFill>
        <a:schemeClr val="tx2"/>
      </a:solidFill>
      <a:prstDash val="solid"/>
      <a:round/>
    </a:ln>
    <a:effectLst/>
  </c:spPr>
  <c:txPr>
    <a:bodyPr/>
    <a:lstStyle/>
    <a:p>
      <a:pPr>
        <a:defRPr lang="ru-RU">
          <a:solidFill>
            <a:sysClr val="windowText" lastClr="000000"/>
          </a:solidFill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'[заболеваемость детская.xlsx]графики заб'!$C$118</c:f>
              <c:strCache>
                <c:ptCount val="1"/>
                <c:pt idx="0">
                  <c:v>Витебская область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'[заболеваемость детская.xlsx]графики заб'!$B$119:$B$128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'[заболеваемость детская.xlsx]графики заб'!$C$119:$C$128</c:f>
              <c:numCache>
                <c:formatCode>General</c:formatCode>
                <c:ptCount val="10"/>
                <c:pt idx="0">
                  <c:v>407.3</c:v>
                </c:pt>
                <c:pt idx="1">
                  <c:v>407.2</c:v>
                </c:pt>
                <c:pt idx="2">
                  <c:v>404.3</c:v>
                </c:pt>
                <c:pt idx="3">
                  <c:v>396</c:v>
                </c:pt>
                <c:pt idx="4">
                  <c:v>391.2</c:v>
                </c:pt>
                <c:pt idx="5">
                  <c:v>441.7</c:v>
                </c:pt>
                <c:pt idx="6">
                  <c:v>515.7</c:v>
                </c:pt>
                <c:pt idx="7">
                  <c:v>513.3</c:v>
                </c:pt>
                <c:pt idx="8">
                  <c:v>488.6</c:v>
                </c:pt>
                <c:pt idx="9">
                  <c:v>479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'[заболеваемость детская.xlsx]графики заб'!$D$118</c:f>
              <c:strCache>
                <c:ptCount val="1"/>
                <c:pt idx="0">
                  <c:v>Сенненский район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'[заболеваемость детская.xlsx]графики заб'!$B$119:$B$128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'[заболеваемость детская.xlsx]графики заб'!$D$119:$D$128</c:f>
              <c:numCache>
                <c:formatCode>General</c:formatCode>
                <c:ptCount val="10"/>
                <c:pt idx="0">
                  <c:v>365.3</c:v>
                </c:pt>
                <c:pt idx="1">
                  <c:v>355.8</c:v>
                </c:pt>
                <c:pt idx="2">
                  <c:v>330.7</c:v>
                </c:pt>
                <c:pt idx="3">
                  <c:v>340.6</c:v>
                </c:pt>
                <c:pt idx="4">
                  <c:v>353.2</c:v>
                </c:pt>
                <c:pt idx="5">
                  <c:v>273.6</c:v>
                </c:pt>
                <c:pt idx="6">
                  <c:v>255.6</c:v>
                </c:pt>
                <c:pt idx="7">
                  <c:v>247.6</c:v>
                </c:pt>
                <c:pt idx="8">
                  <c:v>264.3</c:v>
                </c:pt>
                <c:pt idx="9">
                  <c:v>275.2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7041891"/>
        <c:axId val="732581565"/>
      </c:lineChart>
      <c:catAx>
        <c:axId val="4704189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32581565"/>
        <c:crosses val="autoZero"/>
        <c:auto val="1"/>
        <c:lblAlgn val="ctr"/>
        <c:lblOffset val="100"/>
        <c:noMultiLvlLbl val="0"/>
      </c:catAx>
      <c:valAx>
        <c:axId val="732581565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На 1000 населения</a:t>
                </a:r>
                <a:endParaRPr lang="ru-RU">
                  <a:solidFill>
                    <a:schemeClr val="tx1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  <a:sym typeface="Times New Roman" panose="0202060305040502030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70418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>
        <c:manualLayout>
          <c:xMode val="edge"/>
          <c:yMode val="edge"/>
          <c:x val="0.348816029143898"/>
          <c:y val="0.80555555555555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51b06551-ecb1-4cfe-9b59-d0321fa77f7c}"/>
      </c:ext>
    </c:extLst>
  </c:chart>
  <c:spPr>
    <a:solidFill>
      <a:schemeClr val="bg1"/>
    </a:solidFill>
    <a:ln w="6350" cap="flat" cmpd="sng" algn="ctr">
      <a:solidFill>
        <a:schemeClr val="accent1"/>
      </a:solidFill>
      <a:round/>
    </a:ln>
    <a:effectLst/>
  </c:spPr>
  <c:txPr>
    <a:bodyPr/>
    <a:lstStyle/>
    <a:p>
      <a:pPr>
        <a:defRPr lang="ru-RU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8952052828022"/>
          <c:y val="0.159060221442074"/>
          <c:w val="0.406402526557565"/>
          <c:h val="0.764515257899001"/>
        </c:manualLayout>
      </c:layout>
      <c:radarChart>
        <c:radarStyle val="marker"/>
        <c:varyColors val="0"/>
        <c:ser>
          <c:idx val="0"/>
          <c:order val="0"/>
          <c:marker>
            <c:symbol val="diamond"/>
            <c:size val="5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'[Сенно графики.xlsx]Лист2'!$B$7:$B$11</c:f>
              <c:strCache>
                <c:ptCount val="5"/>
                <c:pt idx="0">
                  <c:v>потребление алкоголя</c:v>
                </c:pt>
                <c:pt idx="1">
                  <c:v>потребление табака</c:v>
                </c:pt>
                <c:pt idx="2">
                  <c:v>информационный стресс</c:v>
                </c:pt>
                <c:pt idx="3">
                  <c:v>нерациональное питание</c:v>
                </c:pt>
                <c:pt idx="4">
                  <c:v>рабочие места с вредностью (шум, вибрация и др.)</c:v>
                </c:pt>
              </c:strCache>
            </c:strRef>
          </c:cat>
          <c:val>
            <c:numRef>
              <c:f>'[Сенно графики.xlsx]Лист2'!$C$7:$C$11</c:f>
              <c:numCache>
                <c:formatCode>General</c:formatCode>
                <c:ptCount val="5"/>
                <c:pt idx="0">
                  <c:v>12</c:v>
                </c:pt>
                <c:pt idx="1">
                  <c:v>11</c:v>
                </c:pt>
                <c:pt idx="2">
                  <c:v>8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186752"/>
        <c:axId val="80202752"/>
      </c:radarChart>
      <c:catAx>
        <c:axId val="8018675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60000" spcFirstLastPara="0" vertOverflow="ellipsis" vert="horz" wrap="square" anchor="ctr" anchorCtr="1"/>
          <a:lstStyle/>
          <a:p>
            <a:pPr>
              <a:defRPr lang="ru-RU" sz="8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80202752"/>
        <c:crosses val="autoZero"/>
        <c:auto val="1"/>
        <c:lblAlgn val="ctr"/>
        <c:lblOffset val="100"/>
        <c:noMultiLvlLbl val="0"/>
      </c:catAx>
      <c:valAx>
        <c:axId val="802027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ysDash"/>
              <a:round/>
            </a:ln>
          </c:spPr>
        </c:majorGridlines>
        <c:numFmt formatCode="General" sourceLinked="1"/>
        <c:majorTickMark val="cross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018675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0c146387-21e4-4a20-99f0-519fcb48b64c}"/>
      </c:ext>
    </c:extLst>
  </c:chart>
  <c:spPr>
    <a:ln w="9525" cap="flat" cmpd="sng" algn="ctr">
      <a:solidFill>
        <a:schemeClr val="tx2">
          <a:lumMod val="60000"/>
          <a:lumOff val="40000"/>
        </a:schemeClr>
      </a:solidFill>
      <a:prstDash val="solid"/>
      <a:round/>
    </a:ln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71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150654215743693"/>
          <c:y val="0.201388888888889"/>
          <c:w val="0.662878896336305"/>
          <c:h val="0.62962962962963"/>
        </c:manualLayout>
      </c:layout>
      <c:pie3DChart>
        <c:varyColors val="1"/>
        <c:ser>
          <c:idx val="0"/>
          <c:order val="0"/>
          <c:spPr/>
          <c:explosion val="1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0162777380100214"/>
                  <c:y val="0.023322032662583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15125485347389"/>
                  <c:y val="-0.00038954590135701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86846272315134"/>
                  <c:y val="0.12910287255759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447233248736469"/>
                  <c:y val="-0.021101997666958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10091971974578"/>
                  <c:y val="-0.11746391076115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Лист2!$B$3:$B$8</c:f>
              <c:strCache>
                <c:ptCount val="6"/>
                <c:pt idx="0">
                  <c:v>Венерические болезни</c:v>
                </c:pt>
                <c:pt idx="1">
                  <c:v>Воздушно-капельные инфекции</c:v>
                </c:pt>
                <c:pt idx="2">
                  <c:v>Паразитарные болезни</c:v>
                </c:pt>
                <c:pt idx="3">
                  <c:v>Инфекции кожи</c:v>
                </c:pt>
                <c:pt idx="4">
                  <c:v>Кишечные инфекции</c:v>
                </c:pt>
                <c:pt idx="5">
                  <c:v>Парентеральные инфекции</c:v>
                </c:pt>
              </c:strCache>
            </c:strRef>
          </c:cat>
          <c:val>
            <c:numRef>
              <c:f>Лист2!$C$3:$C$8</c:f>
              <c:numCache>
                <c:formatCode>General</c:formatCode>
                <c:ptCount val="6"/>
                <c:pt idx="0">
                  <c:v>18.4</c:v>
                </c:pt>
                <c:pt idx="1">
                  <c:v>21</c:v>
                </c:pt>
                <c:pt idx="2">
                  <c:v>26.3</c:v>
                </c:pt>
                <c:pt idx="3">
                  <c:v>18.4</c:v>
                </c:pt>
                <c:pt idx="4">
                  <c:v>13.2</c:v>
                </c:pt>
                <c:pt idx="5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473f0f6-f6f4-4ef9-b568-f9439937603a}"/>
      </c:ext>
    </c:extLst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18361581920904"/>
          <c:y val="0.0574712643678161"/>
          <c:w val="0.968926553672316"/>
          <c:h val="0.671992035478324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Лист2!$B$47</c:f>
              <c:strCache>
                <c:ptCount val="1"/>
                <c:pt idx="0">
                  <c:v>Сенненский район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512847769028871"/>
                  <c:y val="0.03938648293963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457292213473316"/>
                  <c:y val="0.03938648293963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246645758263268"/>
                  <c:y val="0.06613494433885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232521464477958"/>
                  <c:y val="0.04889356502850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285042706526092"/>
                  <c:y val="-0.05081138564575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0232521464477957"/>
                  <c:y val="0.04889356502850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 w="12700" cmpd="sng">
                <a:solidFill>
                  <a:schemeClr val="accent1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Лист2!$C$46:$Q$46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numCache>
            </c:numRef>
          </c:cat>
          <c:val>
            <c:numRef>
              <c:f>Лист2!$C$47:$Q$47</c:f>
              <c:numCache>
                <c:formatCode>General</c:formatCode>
                <c:ptCount val="15"/>
                <c:pt idx="0">
                  <c:v>0.04</c:v>
                </c:pt>
                <c:pt idx="1">
                  <c:v>0.08</c:v>
                </c:pt>
                <c:pt idx="2">
                  <c:v>0</c:v>
                </c:pt>
                <c:pt idx="3">
                  <c:v>0</c:v>
                </c:pt>
                <c:pt idx="4">
                  <c:v>0.09</c:v>
                </c:pt>
                <c:pt idx="5">
                  <c:v>0.09</c:v>
                </c:pt>
                <c:pt idx="6">
                  <c:v>0.14</c:v>
                </c:pt>
                <c:pt idx="7">
                  <c:v>0.14</c:v>
                </c:pt>
                <c:pt idx="8">
                  <c:v>0.05</c:v>
                </c:pt>
                <c:pt idx="9">
                  <c:v>0.24</c:v>
                </c:pt>
                <c:pt idx="10">
                  <c:v>0.1</c:v>
                </c:pt>
                <c:pt idx="11">
                  <c:v>0.05</c:v>
                </c:pt>
                <c:pt idx="12">
                  <c:v>0.15</c:v>
                </c:pt>
                <c:pt idx="13">
                  <c:v>0.11</c:v>
                </c:pt>
                <c:pt idx="14">
                  <c:v>0.05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Лист2!$B$48</c:f>
              <c:strCache>
                <c:ptCount val="1"/>
                <c:pt idx="0">
                  <c:v>Витебская область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0.0260770052048579"/>
                  <c:y val="0.066134944338854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60770052048579"/>
                  <c:y val="0.04889356502850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1444236843276"/>
                  <c:y val="0.0546406914652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232521464477957"/>
                  <c:y val="0.0546406914652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232521464477957"/>
                  <c:y val="0.0546406914652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0218397170692646"/>
                  <c:y val="0.0546406914652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232521464477958"/>
                  <c:y val="0.0546406914652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0178308643622937"/>
                  <c:y val="-0.07179609014390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12700" cmpd="sng">
                <a:solidFill>
                  <a:schemeClr val="accent6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Лист2!$C$46:$Q$46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numCache>
            </c:numRef>
          </c:cat>
          <c:val>
            <c:numRef>
              <c:f>Лист2!$C$48:$Q$48</c:f>
              <c:numCache>
                <c:formatCode>General</c:formatCode>
                <c:ptCount val="15"/>
                <c:pt idx="0">
                  <c:v>0.06</c:v>
                </c:pt>
                <c:pt idx="1">
                  <c:v>0.06</c:v>
                </c:pt>
                <c:pt idx="2">
                  <c:v>0.07</c:v>
                </c:pt>
                <c:pt idx="3">
                  <c:v>0.08</c:v>
                </c:pt>
                <c:pt idx="4">
                  <c:v>0.08</c:v>
                </c:pt>
                <c:pt idx="5">
                  <c:v>0.1</c:v>
                </c:pt>
                <c:pt idx="6">
                  <c:v>0.1</c:v>
                </c:pt>
                <c:pt idx="7">
                  <c:v>0.09</c:v>
                </c:pt>
                <c:pt idx="8">
                  <c:v>0.1</c:v>
                </c:pt>
                <c:pt idx="9">
                  <c:v>0.12</c:v>
                </c:pt>
                <c:pt idx="10">
                  <c:v>0.07</c:v>
                </c:pt>
                <c:pt idx="11">
                  <c:v>0.09</c:v>
                </c:pt>
                <c:pt idx="12">
                  <c:v>0.08</c:v>
                </c:pt>
                <c:pt idx="13">
                  <c:v>0.11</c:v>
                </c:pt>
                <c:pt idx="14">
                  <c:v>0.095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1633936"/>
        <c:axId val="471632856"/>
      </c:lineChart>
      <c:catAx>
        <c:axId val="47163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71632856"/>
        <c:crosses val="autoZero"/>
        <c:auto val="1"/>
        <c:lblAlgn val="ctr"/>
        <c:lblOffset val="100"/>
        <c:noMultiLvlLbl val="0"/>
      </c:catAx>
      <c:valAx>
        <c:axId val="4716328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163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8135482005427"/>
          <c:y val="0.821999574377527"/>
          <c:w val="0.323728924774234"/>
          <c:h val="0.1112117471802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072c18f-d328-4180-8238-6a93063a7bb0}"/>
      </c:ext>
    </c:extLst>
  </c:chart>
  <c:spPr>
    <a:noFill/>
    <a:ln w="9525" cap="flat" cmpd="sng" algn="ctr">
      <a:solidFill>
        <a:schemeClr val="tx2">
          <a:lumMod val="60000"/>
          <a:lumOff val="40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Динамика младенческой смертности</a:t>
            </a:r>
            <a:endParaRPr lang="ru-RU" sz="12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191409667541557"/>
          <c:y val="0.023148148148148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Лист1!$C$26</c:f>
              <c:strCache>
                <c:ptCount val="1"/>
                <c:pt idx="0">
                  <c:v>район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Лист1!$B$27:$B$32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2024</c:v>
                </c:pt>
              </c:numCache>
            </c:numRef>
          </c:cat>
          <c:val>
            <c:numRef>
              <c:f>Лист1!$C$27:$C$32</c:f>
              <c:numCache>
                <c:formatCode>General</c:formatCode>
                <c:ptCount val="6"/>
                <c:pt idx="0">
                  <c:v>12.3</c:v>
                </c:pt>
                <c:pt idx="1">
                  <c:v>4</c:v>
                </c:pt>
                <c:pt idx="2">
                  <c:v>13.6</c:v>
                </c:pt>
                <c:pt idx="3">
                  <c:v>0</c:v>
                </c:pt>
                <c:pt idx="4">
                  <c:v>6.1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Лист1!$D$26</c:f>
              <c:strCache>
                <c:ptCount val="1"/>
                <c:pt idx="0">
                  <c:v>Витебская область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0.0393958880139983"/>
                  <c:y val="-0.03005796150481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rgbClr val="FF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Лист1!$B$27:$B$32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2024</c:v>
                </c:pt>
              </c:numCache>
            </c:numRef>
          </c:cat>
          <c:val>
            <c:numRef>
              <c:f>Лист1!$D$27:$D$32</c:f>
              <c:numCache>
                <c:formatCode>General</c:formatCode>
                <c:ptCount val="6"/>
                <c:pt idx="0">
                  <c:v>4.8</c:v>
                </c:pt>
                <c:pt idx="1">
                  <c:v>2.8</c:v>
                </c:pt>
                <c:pt idx="2">
                  <c:v>2.8</c:v>
                </c:pt>
                <c:pt idx="3">
                  <c:v>2.2</c:v>
                </c:pt>
                <c:pt idx="4">
                  <c:v>3</c:v>
                </c:pt>
                <c:pt idx="5">
                  <c:v>5.1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14484568"/>
        <c:axId val="514491768"/>
      </c:lineChart>
      <c:catAx>
        <c:axId val="514484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14491768"/>
        <c:crosses val="autoZero"/>
        <c:auto val="1"/>
        <c:lblAlgn val="ctr"/>
        <c:lblOffset val="100"/>
        <c:noMultiLvlLbl val="0"/>
      </c:catAx>
      <c:valAx>
        <c:axId val="514491768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Случаев на 1000 родившихся</a:t>
                </a:r>
                <a:endParaRPr lang="ru-RU">
                  <a:solidFill>
                    <a:sysClr val="windowText" lastClr="000000"/>
                  </a:solidFill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4484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1381b15-d481-481d-a969-e94c16c227a3}"/>
      </c:ext>
    </c:extLst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Доля лиц 65 лет и старше в общей численности населения %</a:t>
            </a:r>
            <a:endParaRPr lang="ru-RU" sz="12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Лист1!$B$36:$B$45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Лист1!$C$36:$C$45</c:f>
              <c:numCache>
                <c:formatCode>General</c:formatCode>
                <c:ptCount val="10"/>
                <c:pt idx="0">
                  <c:v>20.4</c:v>
                </c:pt>
                <c:pt idx="1">
                  <c:v>20.5</c:v>
                </c:pt>
                <c:pt idx="2">
                  <c:v>20.8</c:v>
                </c:pt>
                <c:pt idx="3">
                  <c:v>21.4</c:v>
                </c:pt>
                <c:pt idx="4">
                  <c:v>22.1</c:v>
                </c:pt>
                <c:pt idx="5">
                  <c:v>22.4</c:v>
                </c:pt>
                <c:pt idx="6">
                  <c:v>22.5</c:v>
                </c:pt>
                <c:pt idx="7">
                  <c:v>23.3</c:v>
                </c:pt>
                <c:pt idx="8">
                  <c:v>25</c:v>
                </c:pt>
                <c:pt idx="9">
                  <c:v>26.1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0255064"/>
        <c:axId val="480253624"/>
      </c:lineChart>
      <c:catAx>
        <c:axId val="480255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80253624"/>
        <c:crosses val="autoZero"/>
        <c:auto val="1"/>
        <c:lblAlgn val="ctr"/>
        <c:lblOffset val="100"/>
        <c:noMultiLvlLbl val="0"/>
      </c:catAx>
      <c:valAx>
        <c:axId val="480253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0255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uri="{0b15fc19-7d7d-44ad-8c2d-2c3a37ce22c3}">
        <chartProps xmlns="https://web.wps.cn/et/2018/main" chartId="{456605ce-a2d6-489f-ae55-d37305e256b0}"/>
      </c:ext>
    </c:extLst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200" b="0" i="0" u="none" strike="noStrike" kern="1200" spc="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charset="0"/>
                <a:cs typeface="Times New Roman" panose="02020603050405020304" charset="0"/>
              </a:rPr>
              <a:t>Удельный вес возрастных групп</a:t>
            </a:r>
            <a:endParaRPr lang="ru-RU" sz="1200">
              <a:solidFill>
                <a:schemeClr val="tx1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42305896997044"/>
          <c:y val="0.157511581733951"/>
          <c:w val="0.853742025828536"/>
          <c:h val="0.5015315507798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Лист1!$B$60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0.0155581466743665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Лист1!$C$59:$E$59</c:f>
              <c:strCache>
                <c:ptCount val="3"/>
                <c:pt idx="0">
                  <c:v>моложе трудоспособного </c:v>
                </c:pt>
                <c:pt idx="1">
                  <c:v>трудоспособное</c:v>
                </c:pt>
                <c:pt idx="2">
                  <c:v>старше трудоспособного</c:v>
                </c:pt>
              </c:strCache>
            </c:strRef>
          </c:cat>
          <c:val>
            <c:numRef>
              <c:f>Лист1!$C$60:$E$60</c:f>
              <c:numCache>
                <c:formatCode>General</c:formatCode>
                <c:ptCount val="3"/>
                <c:pt idx="0">
                  <c:v>15.8</c:v>
                </c:pt>
                <c:pt idx="1">
                  <c:v>51.7</c:v>
                </c:pt>
                <c:pt idx="2">
                  <c:v>32.5</c:v>
                </c:pt>
              </c:numCache>
            </c:numRef>
          </c:val>
        </c:ser>
        <c:ser>
          <c:idx val="1"/>
          <c:order val="1"/>
          <c:tx>
            <c:strRef>
              <c:f>Лист1!$B$61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0280046640138597"/>
                  <c:y val="-0.013234074302553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178140534411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5581466743665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Лист1!$C$59:$E$59</c:f>
              <c:strCache>
                <c:ptCount val="3"/>
                <c:pt idx="0">
                  <c:v>моложе трудоспособного </c:v>
                </c:pt>
                <c:pt idx="1">
                  <c:v>трудоспособное</c:v>
                </c:pt>
                <c:pt idx="2">
                  <c:v>старше трудоспособного</c:v>
                </c:pt>
              </c:strCache>
            </c:strRef>
          </c:cat>
          <c:val>
            <c:numRef>
              <c:f>Лист1!$C$61:$E$61</c:f>
              <c:numCache>
                <c:formatCode>General</c:formatCode>
                <c:ptCount val="3"/>
                <c:pt idx="0">
                  <c:v>14.1</c:v>
                </c:pt>
                <c:pt idx="1">
                  <c:v>51.7</c:v>
                </c:pt>
                <c:pt idx="2">
                  <c:v>34.2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9185536"/>
        <c:axId val="649183736"/>
      </c:barChart>
      <c:catAx>
        <c:axId val="64918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8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649183736"/>
        <c:crosses val="autoZero"/>
        <c:auto val="1"/>
        <c:lblAlgn val="ctr"/>
        <c:lblOffset val="100"/>
        <c:noMultiLvlLbl val="0"/>
      </c:catAx>
      <c:valAx>
        <c:axId val="6491837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91855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9ac8a8c-6134-472d-b0ea-11b5e327b2c9}"/>
      </c:ext>
    </c:extLst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9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344464426178868"/>
          <c:y val="0.456801215637519"/>
          <c:w val="0.6"/>
          <c:h val="0.493666921688511"/>
        </c:manualLayout>
      </c:layout>
      <c:pie3DChart>
        <c:varyColors val="1"/>
        <c:ser>
          <c:idx val="0"/>
          <c:order val="0"/>
          <c:explosion val="0"/>
          <c:dPt>
            <c:idx val="0"/>
            <c:bubble3D val="0"/>
            <c:explosion val="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78422572178478"/>
                  <c:y val="-0.1329633581345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310345581802275"/>
                  <c:y val="0.15102045292395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86433010683726"/>
                  <c:y val="0.16788821353471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51995188101487"/>
                  <c:y val="0.024119884349958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821741032371"/>
                  <c:y val="-0.11829261369867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252112860892388"/>
                  <c:y val="-0.23144264524311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48941984151365"/>
                  <c:y val="-0.3032333372468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161500437445319"/>
                  <c:y val="-0.1423405715671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156430446194226"/>
                  <c:y val="-0.30776115763575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55818660950235"/>
                  <c:y val="-0.3274102804427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190437882764654"/>
                  <c:y val="-0.18498555664645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53435914260717"/>
                  <c:y val="-0.044315098626365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14256539807524"/>
                  <c:y val="0.019806230704027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accent1">
                    <a:lumMod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lang="ru-RU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Лист2!$B$66:$B$78</c:f>
              <c:strCache>
                <c:ptCount val="13"/>
                <c:pt idx="0">
                  <c:v>Болезни органов дыхания</c:v>
                </c:pt>
                <c:pt idx="1">
                  <c:v>Травмы, отравления </c:v>
                </c:pt>
                <c:pt idx="2">
                  <c:v>Болезни системы кровообращения</c:v>
                </c:pt>
                <c:pt idx="3">
                  <c:v>Некоторые инфекционные и паразитарные болезни</c:v>
                </c:pt>
                <c:pt idx="4">
                  <c:v>Болезни эндокринной системы,</c:v>
                </c:pt>
                <c:pt idx="5">
                  <c:v>Психические расстройства </c:v>
                </c:pt>
                <c:pt idx="6">
                  <c:v>Болезни кожи и подкожной клетчатки</c:v>
                </c:pt>
                <c:pt idx="7">
                  <c:v>Болезни костно-мышечной системы</c:v>
                </c:pt>
                <c:pt idx="8">
                  <c:v>Болезни мочеполовой системы</c:v>
                </c:pt>
                <c:pt idx="9">
                  <c:v>Болезни нервной системы</c:v>
                </c:pt>
                <c:pt idx="10">
                  <c:v>Новообразования</c:v>
                </c:pt>
                <c:pt idx="11">
                  <c:v>Болезни глаза</c:v>
                </c:pt>
                <c:pt idx="12">
                  <c:v>Прочие</c:v>
                </c:pt>
              </c:strCache>
            </c:strRef>
          </c:cat>
          <c:val>
            <c:numRef>
              <c:f>Лист2!$C$66:$C$78</c:f>
              <c:numCache>
                <c:formatCode>General</c:formatCode>
                <c:ptCount val="13"/>
                <c:pt idx="0">
                  <c:v>64.8</c:v>
                </c:pt>
                <c:pt idx="1">
                  <c:v>9.9</c:v>
                </c:pt>
                <c:pt idx="2">
                  <c:v>5.1</c:v>
                </c:pt>
                <c:pt idx="3">
                  <c:v>3.7</c:v>
                </c:pt>
                <c:pt idx="4">
                  <c:v>2.6</c:v>
                </c:pt>
                <c:pt idx="5">
                  <c:v>2.6</c:v>
                </c:pt>
                <c:pt idx="6">
                  <c:v>2.5</c:v>
                </c:pt>
                <c:pt idx="7">
                  <c:v>2</c:v>
                </c:pt>
                <c:pt idx="8">
                  <c:v>1.3</c:v>
                </c:pt>
                <c:pt idx="9">
                  <c:v>0.9</c:v>
                </c:pt>
                <c:pt idx="10">
                  <c:v>0.8</c:v>
                </c:pt>
                <c:pt idx="11">
                  <c:v>0.8</c:v>
                </c:pt>
                <c:pt idx="1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f8fa78b-16bb-42f7-a7f4-b96310c7e839}"/>
      </c:ext>
    </c:extLst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8713802971754"/>
          <c:y val="0.0619169009176032"/>
          <c:w val="0.529155116307099"/>
          <c:h val="0.9121532364597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.0030530269958555"/>
                  <c:y val="0.0089867445517861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'[Сенно графики.xlsx]Лист3'!$A$39:$A$54</c:f>
              <c:strCache>
                <c:ptCount val="16"/>
                <c:pt idx="0">
                  <c:v>Инфекционные болезни</c:v>
                </c:pt>
                <c:pt idx="1">
                  <c:v>Новообразования</c:v>
                </c:pt>
                <c:pt idx="2">
                  <c:v>Болезни крови</c:v>
                </c:pt>
                <c:pt idx="3">
                  <c:v>Болезни эндокринной системы</c:v>
                </c:pt>
                <c:pt idx="4">
                  <c:v>Психические расстрой</c:v>
                </c:pt>
                <c:pt idx="5">
                  <c:v>Болезни нервной системы</c:v>
                </c:pt>
                <c:pt idx="6">
                  <c:v>Болезни глаза </c:v>
                </c:pt>
                <c:pt idx="7">
                  <c:v>Болезни уха </c:v>
                </c:pt>
                <c:pt idx="8">
                  <c:v>Болезни системы кровообращения</c:v>
                </c:pt>
                <c:pt idx="9">
                  <c:v>Болезни органов дыхания</c:v>
                </c:pt>
                <c:pt idx="10">
                  <c:v>Болезни органов пищеварения</c:v>
                </c:pt>
                <c:pt idx="11">
                  <c:v>Болезни кожи </c:v>
                </c:pt>
                <c:pt idx="12">
                  <c:v>Болезни костно-мышечной системы</c:v>
                </c:pt>
                <c:pt idx="13">
                  <c:v>Болезни мочеполовой системы</c:v>
                </c:pt>
                <c:pt idx="14">
                  <c:v>Врожденные аномалии</c:v>
                </c:pt>
                <c:pt idx="15">
                  <c:v>Травмы, отравления</c:v>
                </c:pt>
              </c:strCache>
            </c:strRef>
          </c:cat>
          <c:val>
            <c:numRef>
              <c:f>'[Сенно графики.xlsx]Лист3'!$B$39:$B$54</c:f>
              <c:numCache>
                <c:formatCode>0.0</c:formatCode>
                <c:ptCount val="16"/>
                <c:pt idx="0">
                  <c:v>11.3</c:v>
                </c:pt>
                <c:pt idx="1">
                  <c:v>-13.1</c:v>
                </c:pt>
                <c:pt idx="2">
                  <c:v>-7</c:v>
                </c:pt>
                <c:pt idx="3">
                  <c:v>4.8</c:v>
                </c:pt>
                <c:pt idx="4">
                  <c:v>3.1</c:v>
                </c:pt>
                <c:pt idx="5">
                  <c:v>0.6</c:v>
                </c:pt>
                <c:pt idx="6">
                  <c:v>3.6</c:v>
                </c:pt>
                <c:pt idx="7">
                  <c:v>-11.3</c:v>
                </c:pt>
                <c:pt idx="8">
                  <c:v>-12.1</c:v>
                </c:pt>
                <c:pt idx="9">
                  <c:v>-4.4</c:v>
                </c:pt>
                <c:pt idx="10">
                  <c:v>-1.1</c:v>
                </c:pt>
                <c:pt idx="11">
                  <c:v>-5.9</c:v>
                </c:pt>
                <c:pt idx="12">
                  <c:v>-4</c:v>
                </c:pt>
                <c:pt idx="13">
                  <c:v>-2.6</c:v>
                </c:pt>
                <c:pt idx="14">
                  <c:v>12</c:v>
                </c:pt>
                <c:pt idx="15">
                  <c:v>-3.4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12826336"/>
        <c:axId val="612826696"/>
      </c:barChart>
      <c:catAx>
        <c:axId val="612826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612826696"/>
        <c:crosses val="autoZero"/>
        <c:auto val="0"/>
        <c:lblAlgn val="ctr"/>
        <c:lblOffset val="100"/>
        <c:noMultiLvlLbl val="0"/>
      </c:catAx>
      <c:valAx>
        <c:axId val="61282669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282633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9a0c0e-06e0-4581-a537-9e766c63f6d2}"/>
      </c:ext>
    </c:extLst>
  </c:chart>
  <c:spPr>
    <a:noFill/>
    <a:ln w="12700" cap="flat" cmpd="sng" algn="ctr">
      <a:solidFill>
        <a:schemeClr val="tx2">
          <a:lumMod val="60000"/>
          <a:lumOff val="40000"/>
        </a:schemeClr>
      </a:solidFill>
      <a:round/>
    </a:ln>
    <a:effectLst/>
  </c:spPr>
  <c:txPr>
    <a:bodyPr/>
    <a:lstStyle/>
    <a:p>
      <a:pPr>
        <a:defRPr lang="ru-RU">
          <a:solidFill>
            <a:schemeClr val="tx1">
              <a:lumMod val="95000"/>
              <a:lumOff val="5000"/>
            </a:schemeClr>
          </a:solidFill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8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894320879212808"/>
          <c:y val="0.0338887705223337"/>
          <c:w val="0.6"/>
          <c:h val="0.493666921688511"/>
        </c:manualLayout>
      </c:layout>
      <c:pie3DChart>
        <c:varyColors val="1"/>
        <c:ser>
          <c:idx val="0"/>
          <c:order val="0"/>
          <c:explosion val="8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65836204935271"/>
                  <c:y val="0.093430642614611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4336535100132"/>
                  <c:y val="-0.1674511305322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16370517110308"/>
                  <c:y val="-0.095032266983578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301922946735252"/>
                  <c:y val="0.018659766858667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64411224495458"/>
                  <c:y val="0.12306973610441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20076140015208"/>
                  <c:y val="0.25967406449120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1654708594829"/>
                      <c:h val="0.139934151014939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0594911576856276"/>
                  <c:y val="0.14309019398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92447603668992"/>
                  <c:y val="0.29366924632921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249626386553689"/>
                  <c:y val="0.1593921245447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291167673808216"/>
                  <c:y val="0.074860076271038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24648943194997"/>
                  <c:y val="-0.027194202395662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15382264320554"/>
                  <c:y val="-0.071565787832130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14256539807524"/>
                  <c:y val="0.019806230704027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accent1">
                    <a:lumMod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lang="ru-RU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/>
              </c:ext>
            </c:extLst>
          </c:dLbls>
          <c:cat>
            <c:strRef>
              <c:f>Лист2!$B$66:$B$78</c:f>
              <c:strCache>
                <c:ptCount val="12"/>
                <c:pt idx="0">
                  <c:v>Болезни органов дыхания</c:v>
                </c:pt>
                <c:pt idx="1">
                  <c:v>Травмы, отравления </c:v>
                </c:pt>
                <c:pt idx="2">
                  <c:v>Некоторые инфекционные и паразитарные болезни</c:v>
                </c:pt>
                <c:pt idx="3">
                  <c:v>Врожденные аномалии, деформации и хромосомные нарушения</c:v>
                </c:pt>
                <c:pt idx="4">
                  <c:v>Болезни эндокринной системы,</c:v>
                </c:pt>
                <c:pt idx="5">
                  <c:v>Болезни нервной системы</c:v>
                </c:pt>
                <c:pt idx="6">
                  <c:v>Болезни системы кровообращения</c:v>
                </c:pt>
                <c:pt idx="7">
                  <c:v>Болезни мочеполовой системы</c:v>
                </c:pt>
                <c:pt idx="8">
                  <c:v>Болезни органов пищеварения</c:v>
                </c:pt>
                <c:pt idx="9">
                  <c:v>Болезни глаза</c:v>
                </c:pt>
                <c:pt idx="10">
                  <c:v>Болезни крови</c:v>
                </c:pt>
                <c:pt idx="11">
                  <c:v>Прочие</c:v>
                </c:pt>
              </c:strCache>
            </c:strRef>
          </c:cat>
          <c:val>
            <c:numRef>
              <c:f>Лист2!$C$66:$C$78</c:f>
              <c:numCache>
                <c:formatCode>General</c:formatCode>
                <c:ptCount val="13"/>
                <c:pt idx="0">
                  <c:v>86.9</c:v>
                </c:pt>
                <c:pt idx="1">
                  <c:v>8.2</c:v>
                </c:pt>
                <c:pt idx="2">
                  <c:v>0.8</c:v>
                </c:pt>
                <c:pt idx="3">
                  <c:v>0.8</c:v>
                </c:pt>
                <c:pt idx="4">
                  <c:v>0.5</c:v>
                </c:pt>
                <c:pt idx="5">
                  <c:v>0.4</c:v>
                </c:pt>
                <c:pt idx="6">
                  <c:v>0.4</c:v>
                </c:pt>
                <c:pt idx="7">
                  <c:v>0.3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8492f93-54de-4798-a8e0-0acd1f1bdd39}"/>
      </c:ext>
    </c:extLst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prstDash val="solid"/>
      <a:round/>
    </a:ln>
    <a:effectLst/>
  </c:spPr>
  <c:txPr>
    <a:bodyPr/>
    <a:lstStyle/>
    <a:p>
      <a:pPr algn="just">
        <a:defRPr lang="ru-RU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5174250587098"/>
          <c:y val="0.0403365871400906"/>
          <c:w val="0.529155116307099"/>
          <c:h val="0.9121532364597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.0511953634387829"/>
                  <c:y val="-0.04865103936311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398297416347617"/>
                  <c:y val="-0.0004422821760283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672755674234883"/>
                  <c:y val="0.036267138434321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Лист3!$A$39:$A$54</c:f>
              <c:strCache>
                <c:ptCount val="16"/>
                <c:pt idx="0">
                  <c:v>Инфекционные болезни</c:v>
                </c:pt>
                <c:pt idx="1">
                  <c:v>Новообразования</c:v>
                </c:pt>
                <c:pt idx="2">
                  <c:v>Болезни крови</c:v>
                </c:pt>
                <c:pt idx="3">
                  <c:v>Болезни эндокринной системы</c:v>
                </c:pt>
                <c:pt idx="4">
                  <c:v>Психические расстрой</c:v>
                </c:pt>
                <c:pt idx="5">
                  <c:v>Болезни нервной системы</c:v>
                </c:pt>
                <c:pt idx="6">
                  <c:v>Болезни глаза </c:v>
                </c:pt>
                <c:pt idx="7">
                  <c:v>Болезни уха </c:v>
                </c:pt>
                <c:pt idx="8">
                  <c:v>Болезни системы кровообращения</c:v>
                </c:pt>
                <c:pt idx="9">
                  <c:v>Болезни органов дыхания</c:v>
                </c:pt>
                <c:pt idx="10">
                  <c:v>Болезни органов пищеварения</c:v>
                </c:pt>
                <c:pt idx="11">
                  <c:v>Болезни кожи </c:v>
                </c:pt>
                <c:pt idx="12">
                  <c:v>Болезни костно-мышечной системы</c:v>
                </c:pt>
                <c:pt idx="13">
                  <c:v>Болезни мочеполовой системы</c:v>
                </c:pt>
                <c:pt idx="14">
                  <c:v>Врожденные аномалии</c:v>
                </c:pt>
                <c:pt idx="15">
                  <c:v>Травмы, отравления</c:v>
                </c:pt>
              </c:strCache>
            </c:strRef>
          </c:cat>
          <c:val>
            <c:numRef>
              <c:f>Лист3!$B$39:$B$54</c:f>
              <c:numCache>
                <c:formatCode>0.0</c:formatCode>
                <c:ptCount val="16"/>
                <c:pt idx="0">
                  <c:v>7.54</c:v>
                </c:pt>
                <c:pt idx="1">
                  <c:v>15.9</c:v>
                </c:pt>
                <c:pt idx="2">
                  <c:v>-3.8</c:v>
                </c:pt>
                <c:pt idx="3">
                  <c:v>0.8</c:v>
                </c:pt>
                <c:pt idx="4">
                  <c:v>-9.8</c:v>
                </c:pt>
                <c:pt idx="5">
                  <c:v>-1.7</c:v>
                </c:pt>
                <c:pt idx="6">
                  <c:v>-3.5</c:v>
                </c:pt>
                <c:pt idx="7">
                  <c:v>-7.4</c:v>
                </c:pt>
                <c:pt idx="8">
                  <c:v>27.9</c:v>
                </c:pt>
                <c:pt idx="9">
                  <c:v>-6.6</c:v>
                </c:pt>
                <c:pt idx="10">
                  <c:v>-1.34</c:v>
                </c:pt>
                <c:pt idx="11">
                  <c:v>-3.4</c:v>
                </c:pt>
                <c:pt idx="12">
                  <c:v>0.6</c:v>
                </c:pt>
                <c:pt idx="13">
                  <c:v>7.8</c:v>
                </c:pt>
                <c:pt idx="14">
                  <c:v>14.6</c:v>
                </c:pt>
                <c:pt idx="15">
                  <c:v>16.5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12826336"/>
        <c:axId val="612826696"/>
      </c:barChart>
      <c:catAx>
        <c:axId val="612826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612826696"/>
        <c:crosses val="autoZero"/>
        <c:auto val="0"/>
        <c:lblAlgn val="ctr"/>
        <c:lblOffset val="100"/>
        <c:noMultiLvlLbl val="0"/>
      </c:catAx>
      <c:valAx>
        <c:axId val="61282669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282633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9a0c0e-06e0-4581-a537-9e766c63f6d2}"/>
      </c:ext>
    </c:extLst>
  </c:chart>
  <c:spPr>
    <a:noFill/>
    <a:ln w="12700" cap="flat" cmpd="sng" algn="ctr">
      <a:solidFill>
        <a:schemeClr val="tx2">
          <a:lumMod val="60000"/>
          <a:lumOff val="40000"/>
        </a:schemeClr>
      </a:solidFill>
      <a:round/>
    </a:ln>
    <a:effectLst/>
  </c:spPr>
  <c:txPr>
    <a:bodyPr/>
    <a:lstStyle/>
    <a:p>
      <a:pPr>
        <a:defRPr lang="ru-RU">
          <a:solidFill>
            <a:schemeClr val="tx1">
              <a:lumMod val="95000"/>
              <a:lumOff val="5000"/>
            </a:schemeClr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03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B913D-9367-4700-B667-B38B5D5D3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76</Pages>
  <Words>24370</Words>
  <Characters>138911</Characters>
  <Lines>1157</Lines>
  <Paragraphs>325</Paragraphs>
  <TotalTime>30</TotalTime>
  <ScaleCrop>false</ScaleCrop>
  <LinksUpToDate>false</LinksUpToDate>
  <CharactersWithSpaces>162956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2023-09-21T07:04:00Z</dcterms:created>
  <dc:creator>NeoLink</dc:creator>
  <cp:lastModifiedBy>USER</cp:lastModifiedBy>
  <cp:lastPrinted>2025-09-29T12:54:00Z</cp:lastPrinted>
  <dcterms:modified xsi:type="dcterms:W3CDTF">2025-10-03T04:28:14Z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1BEB174A704F4F849E9B5311E746D545_12</vt:lpwstr>
  </property>
</Properties>
</file>